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bCs/>
          <w:kern w:val="0"/>
          <w:sz w:val="44"/>
          <w:szCs w:val="44"/>
        </w:rPr>
      </w:pPr>
      <w:r>
        <w:rPr>
          <w:rFonts w:hint="eastAsia" w:ascii="黑体" w:hAnsi="黑体" w:eastAsia="黑体" w:cs="黑体"/>
          <w:kern w:val="0"/>
          <w:sz w:val="32"/>
          <w:szCs w:val="32"/>
          <w:lang w:val="en-US" w:eastAsia="zh-CN"/>
        </w:rPr>
        <w:t>附件</w:t>
      </w:r>
    </w:p>
    <w:p>
      <w:pPr>
        <w:pStyle w:val="10"/>
        <w:rPr>
          <w:rFonts w:hint="eastAsi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宋体" w:eastAsia="方正小标宋简体" w:cs="宋体"/>
          <w:bCs/>
          <w:kern w:val="0"/>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宋体" w:eastAsia="方正小标宋简体" w:cs="宋体"/>
          <w:bCs/>
          <w:kern w:val="0"/>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宋体" w:eastAsia="方正小标宋简体" w:cs="宋体"/>
          <w:bCs/>
          <w:kern w:val="0"/>
          <w:sz w:val="44"/>
          <w:szCs w:val="44"/>
        </w:rPr>
      </w:pPr>
    </w:p>
    <w:p>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9"/>
        <w:rPr>
          <w:rFonts w:hint="eastAsia" w:ascii="方正小标宋简体" w:hAnsi="方正小标宋简体" w:eastAsia="方正小标宋简体" w:cs="方正小标宋简体"/>
          <w:sz w:val="44"/>
          <w:szCs w:val="44"/>
          <w:lang w:eastAsia="zh-CN"/>
        </w:rPr>
      </w:pPr>
      <w:bookmarkStart w:id="0" w:name="_Toc2868"/>
      <w:bookmarkStart w:id="1" w:name="_Toc16818"/>
      <w:bookmarkStart w:id="2" w:name="_Toc15809"/>
      <w:bookmarkStart w:id="3" w:name="_Toc18698"/>
      <w:bookmarkStart w:id="4" w:name="_Toc27082"/>
      <w:bookmarkStart w:id="5" w:name="_Toc16260"/>
      <w:bookmarkStart w:id="6" w:name="_Toc27425"/>
      <w:bookmarkStart w:id="7" w:name="_Toc32089"/>
      <w:bookmarkStart w:id="8" w:name="_Toc25071"/>
      <w:bookmarkStart w:id="9" w:name="_Toc16474"/>
      <w:bookmarkStart w:id="10" w:name="_Toc16958"/>
      <w:bookmarkStart w:id="11" w:name="_Toc7035"/>
      <w:bookmarkStart w:id="12" w:name="_Toc31483"/>
      <w:bookmarkStart w:id="13" w:name="_Toc31014"/>
      <w:bookmarkStart w:id="14" w:name="_Toc13707"/>
      <w:bookmarkStart w:id="15" w:name="_Toc15023"/>
      <w:bookmarkStart w:id="16" w:name="_Toc18138"/>
      <w:bookmarkStart w:id="17" w:name="_Toc449"/>
      <w:bookmarkStart w:id="347" w:name="_GoBack"/>
      <w:r>
        <w:rPr>
          <w:rFonts w:hint="eastAsia" w:ascii="方正小标宋简体" w:hAnsi="方正小标宋简体" w:eastAsia="方正小标宋简体" w:cs="方正小标宋简体"/>
          <w:sz w:val="44"/>
          <w:szCs w:val="44"/>
          <w:lang w:eastAsia="zh-CN"/>
        </w:rPr>
        <w:t>泉港</w:t>
      </w:r>
      <w:r>
        <w:rPr>
          <w:rFonts w:hint="eastAsia" w:ascii="方正小标宋简体" w:hAnsi="方正小标宋简体" w:eastAsia="方正小标宋简体" w:cs="方正小标宋简体"/>
          <w:sz w:val="44"/>
          <w:szCs w:val="44"/>
          <w:lang w:val="en-US" w:eastAsia="zh-CN"/>
        </w:rPr>
        <w:t>南埔将乐县汉宇物流有限公司</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lang w:val="en-US" w:eastAsia="zh-CN"/>
        </w:rPr>
        <w:t>4</w:t>
      </w:r>
      <w:bookmarkEnd w:id="0"/>
      <w:bookmarkEnd w:id="1"/>
      <w:bookmarkEnd w:id="2"/>
      <w:bookmarkEnd w:id="3"/>
      <w:bookmarkEnd w:id="4"/>
      <w:bookmarkEnd w:id="5"/>
      <w:bookmarkEnd w:id="6"/>
      <w:r>
        <w:rPr>
          <w:rFonts w:hint="eastAsia" w:ascii="方正小标宋简体" w:hAnsi="方正小标宋简体" w:eastAsia="方正小标宋简体" w:cs="方正小标宋简体"/>
          <w:sz w:val="44"/>
          <w:szCs w:val="44"/>
          <w:lang w:eastAsia="zh-CN"/>
        </w:rPr>
        <w:t>”</w:t>
      </w:r>
    </w:p>
    <w:p>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9"/>
        <w:rPr>
          <w:rFonts w:hint="eastAsia" w:ascii="方正小标宋简体" w:hAnsi="方正小标宋简体" w:eastAsia="方正小标宋简体" w:cs="方正小标宋简体"/>
          <w:sz w:val="44"/>
          <w:szCs w:val="44"/>
          <w:lang w:eastAsia="zh-CN"/>
        </w:rPr>
      </w:pPr>
      <w:bookmarkStart w:id="18" w:name="_Toc6345"/>
      <w:bookmarkStart w:id="19" w:name="_Toc662"/>
      <w:bookmarkStart w:id="20" w:name="_Toc31677"/>
      <w:bookmarkStart w:id="21" w:name="_Toc10690"/>
      <w:bookmarkStart w:id="22" w:name="_Toc32397"/>
      <w:bookmarkStart w:id="23" w:name="_Toc9319"/>
      <w:bookmarkStart w:id="24" w:name="_Toc31679"/>
      <w:r>
        <w:rPr>
          <w:rFonts w:hint="eastAsia" w:ascii="方正小标宋简体" w:hAnsi="方正小标宋简体" w:eastAsia="方正小标宋简体" w:cs="方正小标宋简体"/>
          <w:sz w:val="44"/>
          <w:szCs w:val="44"/>
          <w:lang w:eastAsia="zh-CN"/>
        </w:rPr>
        <w:t>一般</w:t>
      </w:r>
      <w:r>
        <w:rPr>
          <w:rFonts w:hint="eastAsia" w:ascii="方正小标宋简体" w:hAnsi="方正小标宋简体" w:eastAsia="方正小标宋简体" w:cs="方正小标宋简体"/>
          <w:sz w:val="44"/>
          <w:szCs w:val="44"/>
          <w:lang w:val="en-US" w:eastAsia="zh-CN"/>
        </w:rPr>
        <w:t>高处坠落</w:t>
      </w:r>
      <w:r>
        <w:rPr>
          <w:rFonts w:hint="eastAsia" w:ascii="方正小标宋简体" w:hAnsi="方正小标宋简体" w:eastAsia="方正小标宋简体" w:cs="方正小标宋简体"/>
          <w:sz w:val="44"/>
          <w:szCs w:val="44"/>
          <w:lang w:eastAsia="zh-CN"/>
        </w:rPr>
        <w:t>事故调查报告</w:t>
      </w:r>
      <w:bookmarkEnd w:id="18"/>
      <w:bookmarkEnd w:id="19"/>
      <w:bookmarkEnd w:id="20"/>
      <w:bookmarkEnd w:id="21"/>
      <w:bookmarkEnd w:id="22"/>
      <w:bookmarkEnd w:id="23"/>
      <w:bookmarkEnd w:id="24"/>
      <w:bookmarkEnd w:id="7"/>
      <w:bookmarkEnd w:id="8"/>
      <w:bookmarkEnd w:id="9"/>
      <w:bookmarkEnd w:id="10"/>
      <w:bookmarkEnd w:id="11"/>
      <w:bookmarkEnd w:id="12"/>
      <w:bookmarkEnd w:id="13"/>
      <w:bookmarkEnd w:id="14"/>
      <w:bookmarkEnd w:id="15"/>
      <w:bookmarkEnd w:id="16"/>
      <w:bookmarkEnd w:id="17"/>
    </w:p>
    <w:bookmarkEnd w:id="347"/>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宋体" w:eastAsia="仿宋_GB2312" w:cs="宋体"/>
          <w:bCs/>
          <w:kern w:val="0"/>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宋体" w:eastAsia="仿宋_GB2312" w:cs="宋体"/>
          <w:bCs/>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宋体" w:eastAsia="仿宋_GB2312" w:cs="宋体"/>
          <w:bCs/>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宋体" w:eastAsia="仿宋_GB2312" w:cs="宋体"/>
          <w:bCs/>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宋体" w:eastAsia="仿宋_GB2312" w:cs="宋体"/>
          <w:bCs/>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宋体" w:eastAsia="仿宋_GB2312" w:cs="宋体"/>
          <w:bCs/>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宋体" w:eastAsia="仿宋_GB2312" w:cs="宋体"/>
          <w:bCs/>
          <w:kern w:val="0"/>
          <w:sz w:val="32"/>
          <w:szCs w:val="32"/>
        </w:rPr>
      </w:pPr>
    </w:p>
    <w:p>
      <w:pPr>
        <w:pStyle w:val="2"/>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宋体" w:eastAsia="仿宋_GB2312" w:cs="宋体"/>
          <w:bCs/>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宋体" w:eastAsia="仿宋_GB2312" w:cs="宋体"/>
          <w:bCs/>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宋体" w:eastAsia="仿宋_GB2312" w:cs="宋体"/>
          <w:bCs/>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宋体" w:eastAsia="仿宋_GB2312" w:cs="宋体"/>
          <w:bCs/>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宋体" w:eastAsia="仿宋_GB2312" w:cs="宋体"/>
          <w:bCs/>
          <w:kern w:val="0"/>
          <w:sz w:val="32"/>
          <w:szCs w:val="32"/>
          <w:lang w:eastAsia="zh-CN"/>
        </w:rPr>
      </w:pPr>
      <w:r>
        <w:rPr>
          <w:rFonts w:hint="eastAsia" w:ascii="仿宋_GB2312" w:hAnsi="宋体" w:eastAsia="仿宋_GB2312" w:cs="宋体"/>
          <w:bCs/>
          <w:kern w:val="0"/>
          <w:sz w:val="32"/>
          <w:szCs w:val="32"/>
          <w:lang w:eastAsia="zh-CN"/>
        </w:rPr>
        <w:t>泉港</w:t>
      </w:r>
      <w:r>
        <w:rPr>
          <w:rFonts w:hint="eastAsia" w:ascii="仿宋_GB2312" w:hAnsi="宋体" w:cs="宋体"/>
          <w:bCs/>
          <w:kern w:val="0"/>
          <w:sz w:val="32"/>
          <w:szCs w:val="32"/>
          <w:lang w:val="en-US" w:eastAsia="zh-CN"/>
        </w:rPr>
        <w:t>南埔</w:t>
      </w:r>
      <w:r>
        <w:rPr>
          <w:rFonts w:hint="eastAsia" w:ascii="仿宋_GB2312" w:hAnsi="宋体" w:cs="宋体"/>
          <w:bCs/>
          <w:kern w:val="0"/>
          <w:sz w:val="32"/>
          <w:szCs w:val="32"/>
          <w:lang w:eastAsia="zh-CN"/>
        </w:rPr>
        <w:t>“</w:t>
      </w:r>
      <w:r>
        <w:rPr>
          <w:rFonts w:hint="eastAsia" w:ascii="仿宋_GB2312" w:hAnsi="宋体" w:eastAsia="仿宋_GB2312" w:cs="宋体"/>
          <w:bCs/>
          <w:kern w:val="0"/>
          <w:sz w:val="32"/>
          <w:szCs w:val="32"/>
          <w:lang w:eastAsia="zh-CN"/>
        </w:rPr>
        <w:t>5·4</w:t>
      </w:r>
      <w:r>
        <w:rPr>
          <w:rFonts w:hint="eastAsia" w:ascii="仿宋_GB2312" w:hAnsi="宋体" w:cs="宋体"/>
          <w:bCs/>
          <w:kern w:val="0"/>
          <w:sz w:val="32"/>
          <w:szCs w:val="32"/>
          <w:lang w:eastAsia="zh-CN"/>
        </w:rPr>
        <w:t>”</w:t>
      </w:r>
      <w:r>
        <w:rPr>
          <w:rFonts w:hint="eastAsia" w:ascii="仿宋_GB2312" w:hAnsi="宋体" w:eastAsia="仿宋_GB2312" w:cs="宋体"/>
          <w:bCs/>
          <w:kern w:val="0"/>
          <w:sz w:val="32"/>
          <w:szCs w:val="32"/>
          <w:lang w:eastAsia="zh-CN"/>
        </w:rPr>
        <w:t>一般亡人事故调查组</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宋体" w:eastAsia="仿宋_GB2312" w:cs="宋体"/>
          <w:bCs/>
          <w:kern w:val="0"/>
          <w:sz w:val="32"/>
          <w:szCs w:val="32"/>
        </w:rPr>
      </w:pPr>
      <w:r>
        <w:rPr>
          <w:rFonts w:ascii="仿宋_GB2312" w:hAnsi="宋体" w:eastAsia="仿宋_GB2312" w:cs="宋体"/>
          <w:bCs/>
          <w:kern w:val="0"/>
          <w:sz w:val="32"/>
          <w:szCs w:val="32"/>
        </w:rPr>
        <w:t>202</w:t>
      </w:r>
      <w:r>
        <w:rPr>
          <w:rFonts w:hint="eastAsia" w:ascii="仿宋_GB2312" w:hAnsi="宋体" w:cs="宋体"/>
          <w:bCs/>
          <w:kern w:val="0"/>
          <w:sz w:val="32"/>
          <w:szCs w:val="32"/>
          <w:lang w:val="en-US" w:eastAsia="zh-CN"/>
        </w:rPr>
        <w:t>5</w:t>
      </w:r>
      <w:r>
        <w:rPr>
          <w:rFonts w:ascii="仿宋_GB2312" w:hAnsi="宋体" w:eastAsia="仿宋_GB2312" w:cs="宋体"/>
          <w:bCs/>
          <w:kern w:val="0"/>
          <w:sz w:val="32"/>
          <w:szCs w:val="32"/>
        </w:rPr>
        <w:t>年</w:t>
      </w:r>
      <w:r>
        <w:rPr>
          <w:rFonts w:hint="eastAsia" w:ascii="仿宋_GB2312" w:hAnsi="宋体" w:cs="宋体"/>
          <w:bCs/>
          <w:kern w:val="0"/>
          <w:sz w:val="32"/>
          <w:szCs w:val="32"/>
          <w:lang w:val="en-US" w:eastAsia="zh-CN"/>
        </w:rPr>
        <w:t>9</w:t>
      </w:r>
      <w:r>
        <w:rPr>
          <w:rFonts w:ascii="仿宋_GB2312" w:hAnsi="宋体" w:eastAsia="仿宋_GB2312" w:cs="宋体"/>
          <w:bCs/>
          <w:kern w:val="0"/>
          <w:sz w:val="32"/>
          <w:szCs w:val="32"/>
        </w:rPr>
        <w:t>月</w:t>
      </w:r>
      <w:r>
        <w:rPr>
          <w:rFonts w:hint="eastAsia" w:ascii="仿宋_GB2312" w:hAnsi="宋体" w:cs="宋体"/>
          <w:bCs/>
          <w:kern w:val="0"/>
          <w:sz w:val="32"/>
          <w:szCs w:val="32"/>
          <w:lang w:val="en-US" w:eastAsia="zh-CN"/>
        </w:rPr>
        <w:t>25</w:t>
      </w:r>
      <w:r>
        <w:rPr>
          <w:rFonts w:ascii="仿宋_GB2312" w:hAnsi="宋体" w:eastAsia="仿宋_GB2312" w:cs="宋体"/>
          <w:bCs/>
          <w:kern w:val="0"/>
          <w:sz w:val="32"/>
          <w:szCs w:val="32"/>
        </w:rPr>
        <w:t>日</w:t>
      </w:r>
    </w:p>
    <w:p>
      <w:pPr>
        <w:keepNext w:val="0"/>
        <w:keepLines w:val="0"/>
        <w:pageBreakBefore w:val="0"/>
        <w:kinsoku/>
        <w:wordWrap/>
        <w:overflowPunct/>
        <w:topLinePunct w:val="0"/>
        <w:autoSpaceDE/>
        <w:autoSpaceDN/>
        <w:bidi w:val="0"/>
        <w:adjustRightInd/>
        <w:snapToGrid/>
        <w:spacing w:before="0" w:after="0" w:afterLines="-2147483648" w:line="240" w:lineRule="auto"/>
        <w:ind w:left="0" w:leftChars="0" w:right="0" w:rightChars="0" w:firstLine="0" w:firstLineChars="0"/>
        <w:jc w:val="left"/>
        <w:textAlignment w:val="auto"/>
        <w:rPr>
          <w:rFonts w:hint="default" w:ascii="Times New Roman" w:hAnsi="Times New Roman" w:eastAsia="宋体" w:cs="Times New Roman"/>
          <w:sz w:val="21"/>
        </w:rPr>
        <w:sectPr>
          <w:headerReference r:id="rId3" w:type="default"/>
          <w:footerReference r:id="rId4" w:type="default"/>
          <w:pgSz w:w="11906" w:h="16838"/>
          <w:pgMar w:top="2098" w:right="1531" w:bottom="1871" w:left="1531" w:header="851" w:footer="992" w:gutter="0"/>
          <w:pgNumType w:fmt="decimal"/>
          <w:cols w:space="425" w:num="1"/>
          <w:docGrid w:type="lines" w:linePitch="312" w:charSpace="0"/>
        </w:sectPr>
      </w:pPr>
      <w:r>
        <w:rPr>
          <w:rFonts w:hint="default" w:ascii="Times New Roman" w:hAnsi="Times New Roman" w:eastAsia="宋体" w:cs="Times New Roman"/>
          <w:sz w:val="21"/>
        </w:rPr>
        <w:br w:type="page"/>
      </w:r>
    </w:p>
    <w:sdt>
      <w:sdtPr>
        <w:rPr>
          <w:rFonts w:ascii="宋体" w:hAnsi="宋体" w:eastAsia="宋体" w:cs="Times New Roman"/>
          <w:b/>
          <w:bCs/>
          <w:kern w:val="2"/>
          <w:sz w:val="32"/>
          <w:szCs w:val="32"/>
          <w:lang w:val="en-US" w:eastAsia="zh-CN" w:bidi="ar-SA"/>
        </w:rPr>
        <w:id w:val="147463948"/>
        <w15:color w:val="DBDBDB"/>
        <w:docPartObj>
          <w:docPartGallery w:val="Table of Contents"/>
          <w:docPartUnique/>
        </w:docPartObj>
      </w:sdtPr>
      <w:sdtEndPr>
        <w:rPr>
          <w:rFonts w:ascii="宋体" w:hAnsi="宋体" w:eastAsia="宋体" w:cs="Times New Roman"/>
          <w:b/>
          <w:bCs/>
          <w:kern w:val="2"/>
          <w:sz w:val="32"/>
          <w:szCs w:val="32"/>
          <w:lang w:val="en-US" w:eastAsia="zh-CN" w:bidi="ar-SA"/>
        </w:rPr>
      </w:sdtEndPr>
      <w:sdtContent>
        <w:p>
          <w:pPr>
            <w:spacing w:before="0" w:beforeLines="0" w:after="0" w:afterLines="0" w:line="480" w:lineRule="exact"/>
            <w:ind w:left="0" w:leftChars="0" w:right="0" w:rightChars="0" w:firstLine="0" w:firstLineChars="0"/>
            <w:jc w:val="center"/>
            <w:rPr>
              <w:b/>
              <w:bCs/>
              <w:szCs w:val="32"/>
            </w:rPr>
          </w:pPr>
          <w:bookmarkStart w:id="25" w:name="_Toc7852"/>
          <w:bookmarkStart w:id="26" w:name="_Toc22990"/>
          <w:bookmarkStart w:id="27" w:name="_Toc31447"/>
          <w:bookmarkStart w:id="28" w:name="_Toc22489"/>
          <w:bookmarkStart w:id="29" w:name="_Toc10991"/>
          <w:bookmarkStart w:id="30" w:name="_Toc1225"/>
          <w:bookmarkStart w:id="31" w:name="_Toc24671"/>
          <w:bookmarkStart w:id="32" w:name="_Toc27682"/>
          <w:bookmarkStart w:id="33" w:name="_Toc20760"/>
          <w:bookmarkStart w:id="34" w:name="_Toc20025"/>
          <w:bookmarkStart w:id="35" w:name="_Toc17456"/>
          <w:bookmarkStart w:id="36" w:name="_Toc17091"/>
          <w:bookmarkStart w:id="37" w:name="_Toc15252"/>
          <w:bookmarkStart w:id="38" w:name="_Toc20497"/>
          <w:bookmarkStart w:id="39" w:name="_Toc7713"/>
          <w:bookmarkStart w:id="40" w:name="_Toc23167"/>
          <w:bookmarkStart w:id="41" w:name="_Toc28237"/>
          <w:r>
            <w:rPr>
              <w:rFonts w:ascii="宋体" w:hAnsi="宋体" w:eastAsia="宋体"/>
              <w:b/>
              <w:bCs/>
              <w:sz w:val="32"/>
              <w:szCs w:val="32"/>
            </w:rPr>
            <w:t>目</w:t>
          </w:r>
          <w:r>
            <w:rPr>
              <w:rFonts w:hint="eastAsia" w:ascii="宋体" w:hAnsi="宋体" w:eastAsia="宋体"/>
              <w:b/>
              <w:bCs/>
              <w:sz w:val="32"/>
              <w:szCs w:val="32"/>
              <w:lang w:val="en-US" w:eastAsia="zh-CN"/>
            </w:rPr>
            <w:t xml:space="preserve"> </w:t>
          </w:r>
          <w:r>
            <w:rPr>
              <w:rFonts w:ascii="宋体" w:hAnsi="宋体" w:eastAsia="宋体"/>
              <w:b/>
              <w:bCs/>
              <w:sz w:val="32"/>
              <w:szCs w:val="32"/>
            </w:rPr>
            <w:t>录</w:t>
          </w:r>
        </w:p>
        <w:p>
          <w:pPr>
            <w:pStyle w:val="13"/>
            <w:tabs>
              <w:tab w:val="right" w:leader="dot" w:pos="8845"/>
            </w:tabs>
            <w:spacing w:line="480" w:lineRule="exact"/>
          </w:pPr>
          <w:r>
            <w:rPr>
              <w:sz w:val="24"/>
              <w:szCs w:val="24"/>
            </w:rPr>
            <w:fldChar w:fldCharType="begin"/>
          </w:r>
          <w:r>
            <w:rPr>
              <w:sz w:val="24"/>
              <w:szCs w:val="24"/>
            </w:rPr>
            <w:instrText xml:space="preserve">TOC \o "1-2" \h \u </w:instrText>
          </w:r>
          <w:r>
            <w:rPr>
              <w:sz w:val="24"/>
              <w:szCs w:val="24"/>
            </w:rPr>
            <w:fldChar w:fldCharType="separate"/>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_Toc20633 </w:instrText>
          </w:r>
          <w:r>
            <w:rPr>
              <w:rFonts w:hint="eastAsia" w:ascii="黑体" w:hAnsi="黑体" w:eastAsia="黑体" w:cs="黑体"/>
              <w:sz w:val="24"/>
              <w:szCs w:val="24"/>
            </w:rPr>
            <w:fldChar w:fldCharType="separate"/>
          </w:r>
          <w:r>
            <w:rPr>
              <w:rFonts w:hint="eastAsia" w:ascii="黑体" w:hAnsi="黑体" w:eastAsia="黑体" w:cs="黑体"/>
              <w:sz w:val="24"/>
              <w:szCs w:val="24"/>
              <w:lang w:eastAsia="zh-CN"/>
            </w:rPr>
            <w:t>一、事故基本情况</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_Toc20633 \h </w:instrText>
          </w:r>
          <w:r>
            <w:rPr>
              <w:rFonts w:hint="eastAsia" w:ascii="黑体" w:hAnsi="黑体" w:eastAsia="黑体" w:cs="黑体"/>
              <w:sz w:val="24"/>
              <w:szCs w:val="24"/>
            </w:rPr>
            <w:fldChar w:fldCharType="separate"/>
          </w:r>
          <w:r>
            <w:rPr>
              <w:rFonts w:hint="eastAsia" w:ascii="黑体" w:hAnsi="黑体" w:eastAsia="黑体" w:cs="黑体"/>
              <w:sz w:val="24"/>
              <w:szCs w:val="24"/>
            </w:rPr>
            <w:t>6</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14"/>
            <w:tabs>
              <w:tab w:val="right" w:leader="dot" w:pos="8845"/>
            </w:tabs>
            <w:spacing w:line="480" w:lineRule="exac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_Toc15384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（一）事故发生单位</w:t>
          </w:r>
          <w:r>
            <w:rPr>
              <w:rFonts w:hint="eastAsia" w:asciiTheme="majorEastAsia" w:hAnsiTheme="majorEastAsia" w:eastAsiaTheme="majorEastAsia" w:cstheme="majorEastAsia"/>
              <w:sz w:val="24"/>
              <w:szCs w:val="24"/>
              <w:lang w:eastAsia="zh-CN"/>
            </w:rPr>
            <w:t>及相关</w:t>
          </w:r>
          <w:r>
            <w:rPr>
              <w:rFonts w:hint="eastAsia" w:asciiTheme="majorEastAsia" w:hAnsiTheme="majorEastAsia" w:eastAsiaTheme="majorEastAsia" w:cstheme="majorEastAsia"/>
              <w:sz w:val="24"/>
              <w:szCs w:val="24"/>
            </w:rPr>
            <w:t>概况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_Toc15384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4"/>
            <w:tabs>
              <w:tab w:val="right" w:leader="dot" w:pos="8845"/>
            </w:tabs>
            <w:spacing w:line="480" w:lineRule="exac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_Toc14106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（二）事故相关单位概况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_Toc14106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4"/>
            <w:tabs>
              <w:tab w:val="right" w:leader="dot" w:pos="8845"/>
            </w:tabs>
            <w:spacing w:line="480" w:lineRule="exac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_Toc8135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kern w:val="2"/>
              <w:sz w:val="24"/>
              <w:szCs w:val="24"/>
              <w:lang w:val="en-US" w:eastAsia="zh-CN" w:bidi="ar-SA"/>
            </w:rPr>
            <w:t>（三）</w:t>
          </w:r>
          <w:r>
            <w:rPr>
              <w:rFonts w:hint="eastAsia" w:asciiTheme="majorEastAsia" w:hAnsiTheme="majorEastAsia" w:eastAsiaTheme="majorEastAsia" w:cstheme="majorEastAsia"/>
              <w:sz w:val="24"/>
              <w:szCs w:val="24"/>
              <w:lang w:val="en-US" w:eastAsia="zh-CN"/>
            </w:rPr>
            <w:t>事故发生单位及相关单位安全管理情况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_Toc8135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8</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4"/>
            <w:tabs>
              <w:tab w:val="right" w:leader="dot" w:pos="8845"/>
            </w:tabs>
            <w:spacing w:line="480" w:lineRule="exac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_Toc25109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五</w:t>
          </w:r>
          <w:r>
            <w:rPr>
              <w:rFonts w:hint="eastAsia" w:asciiTheme="majorEastAsia" w:hAnsiTheme="majorEastAsia" w:eastAsiaTheme="majorEastAsia" w:cstheme="majorEastAsia"/>
              <w:sz w:val="24"/>
              <w:szCs w:val="24"/>
            </w:rPr>
            <w:t>）事故发生经过</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_Toc25109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10</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4"/>
            <w:tabs>
              <w:tab w:val="right" w:leader="dot" w:pos="8845"/>
            </w:tabs>
            <w:spacing w:line="480" w:lineRule="exac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_Toc18906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六</w:t>
          </w:r>
          <w:r>
            <w:rPr>
              <w:rFonts w:hint="eastAsia" w:asciiTheme="majorEastAsia" w:hAnsiTheme="majorEastAsia" w:eastAsiaTheme="majorEastAsia" w:cstheme="majorEastAsia"/>
              <w:sz w:val="24"/>
              <w:szCs w:val="24"/>
            </w:rPr>
            <w:t>）事故现场情况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_Toc18906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4"/>
            <w:tabs>
              <w:tab w:val="right" w:leader="dot" w:pos="8845"/>
            </w:tabs>
            <w:spacing w:line="480" w:lineRule="exac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_Toc23403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七</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人员伤亡和直接经济损失情况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_Toc23403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3"/>
            <w:spacing w:line="480" w:lineRule="exact"/>
            <w:rPr>
              <w:rFonts w:hint="eastAsia" w:asciiTheme="majorEastAsia" w:hAnsiTheme="majorEastAsia" w:eastAsiaTheme="majorEastAsia" w:cstheme="majorEastAsia"/>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_Toc3405 </w:instrText>
          </w:r>
          <w:r>
            <w:rPr>
              <w:rFonts w:hint="eastAsia" w:ascii="黑体" w:hAnsi="黑体" w:eastAsia="黑体" w:cs="黑体"/>
              <w:sz w:val="24"/>
              <w:szCs w:val="24"/>
            </w:rPr>
            <w:fldChar w:fldCharType="separate"/>
          </w:r>
          <w:r>
            <w:rPr>
              <w:rFonts w:hint="eastAsia" w:ascii="黑体" w:hAnsi="黑体" w:eastAsia="黑体" w:cs="黑体"/>
              <w:sz w:val="24"/>
              <w:szCs w:val="24"/>
            </w:rPr>
            <w:t>二、事故</w:t>
          </w:r>
          <w:r>
            <w:rPr>
              <w:rFonts w:hint="eastAsia" w:ascii="黑体" w:hAnsi="黑体" w:eastAsia="黑体" w:cs="黑体"/>
              <w:sz w:val="24"/>
              <w:szCs w:val="24"/>
              <w:lang w:val="en-US" w:eastAsia="zh-CN"/>
            </w:rPr>
            <w:t>应急处置和评估情况</w:t>
          </w: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_Toc3405 \h </w:instrText>
          </w:r>
          <w:r>
            <w:rPr>
              <w:rFonts w:hint="eastAsia" w:ascii="黑体" w:hAnsi="黑体" w:eastAsia="黑体" w:cs="黑体"/>
              <w:sz w:val="24"/>
              <w:szCs w:val="24"/>
            </w:rPr>
            <w:fldChar w:fldCharType="separate"/>
          </w:r>
          <w:r>
            <w:rPr>
              <w:rFonts w:hint="eastAsia" w:ascii="黑体" w:hAnsi="黑体" w:eastAsia="黑体" w:cs="黑体"/>
              <w:sz w:val="24"/>
              <w:szCs w:val="24"/>
            </w:rPr>
            <w:t>13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14"/>
            <w:tabs>
              <w:tab w:val="right" w:leader="dot" w:pos="8845"/>
            </w:tabs>
            <w:spacing w:line="480" w:lineRule="exac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_Toc16472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一</w:t>
          </w:r>
          <w:r>
            <w:rPr>
              <w:rFonts w:hint="eastAsia" w:asciiTheme="majorEastAsia" w:hAnsiTheme="majorEastAsia" w:eastAsiaTheme="majorEastAsia" w:cstheme="majorEastAsia"/>
              <w:sz w:val="24"/>
              <w:szCs w:val="24"/>
            </w:rPr>
            <w:t>）事故应急救援处置情况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_Toc16472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4"/>
            <w:tabs>
              <w:tab w:val="right" w:leader="dot" w:pos="8845"/>
            </w:tabs>
            <w:spacing w:line="480" w:lineRule="exac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_Toc6096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二</w:t>
          </w:r>
          <w:r>
            <w:rPr>
              <w:rFonts w:hint="eastAsia" w:asciiTheme="majorEastAsia" w:hAnsiTheme="majorEastAsia" w:eastAsiaTheme="majorEastAsia" w:cstheme="majorEastAsia"/>
              <w:sz w:val="24"/>
              <w:szCs w:val="24"/>
            </w:rPr>
            <w:t>）善后处置情况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_Toc6096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4"/>
            <w:tabs>
              <w:tab w:val="right" w:leader="dot" w:pos="8845"/>
            </w:tabs>
            <w:spacing w:line="480" w:lineRule="exact"/>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_Toc8082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三</w:t>
          </w:r>
          <w:r>
            <w:rPr>
              <w:rFonts w:hint="eastAsia" w:asciiTheme="majorEastAsia" w:hAnsiTheme="majorEastAsia" w:eastAsiaTheme="majorEastAsia" w:cstheme="majorEastAsia"/>
              <w:sz w:val="24"/>
              <w:szCs w:val="24"/>
            </w:rPr>
            <w:t>）事故应急处置评估情况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_Toc8082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3"/>
            <w:tabs>
              <w:tab w:val="right" w:leader="dot" w:pos="8845"/>
            </w:tabs>
            <w:spacing w:line="480" w:lineRule="exact"/>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_Toc32253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三、 事故原因分析</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_Toc32253 \h </w:instrText>
          </w:r>
          <w:r>
            <w:rPr>
              <w:rFonts w:hint="eastAsia" w:ascii="黑体" w:hAnsi="黑体" w:eastAsia="黑体" w:cs="黑体"/>
              <w:sz w:val="24"/>
              <w:szCs w:val="24"/>
            </w:rPr>
            <w:fldChar w:fldCharType="separate"/>
          </w:r>
          <w:r>
            <w:rPr>
              <w:rFonts w:hint="eastAsia" w:ascii="黑体" w:hAnsi="黑体" w:eastAsia="黑体" w:cs="黑体"/>
              <w:sz w:val="24"/>
              <w:szCs w:val="24"/>
            </w:rPr>
            <w:t>14</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14"/>
            <w:tabs>
              <w:tab w:val="right" w:leader="dot" w:pos="8845"/>
            </w:tabs>
            <w:spacing w:line="480" w:lineRule="exac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_Toc24857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lang w:val="en-US" w:eastAsia="zh-CN"/>
            </w:rPr>
            <w:t>（一）直接原因分析</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_Toc24857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4"/>
            <w:tabs>
              <w:tab w:val="right" w:leader="dot" w:pos="8845"/>
            </w:tabs>
            <w:spacing w:line="480" w:lineRule="exact"/>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_Toc24158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lang w:val="en-US" w:eastAsia="zh-CN"/>
            </w:rPr>
            <w:t>（二）间接原因分析</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_Toc24158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3"/>
            <w:tabs>
              <w:tab w:val="right" w:leader="dot" w:pos="8845"/>
            </w:tabs>
            <w:spacing w:line="480" w:lineRule="exact"/>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_Toc19890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四</w:t>
          </w:r>
          <w:r>
            <w:rPr>
              <w:rFonts w:hint="eastAsia" w:ascii="黑体" w:hAnsi="黑体" w:eastAsia="黑体" w:cs="黑体"/>
              <w:sz w:val="24"/>
              <w:szCs w:val="24"/>
            </w:rPr>
            <w:t>、事故责任的认定以及对事故责任者的处理建议</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_Toc19890 \h </w:instrText>
          </w:r>
          <w:r>
            <w:rPr>
              <w:rFonts w:hint="eastAsia" w:ascii="黑体" w:hAnsi="黑体" w:eastAsia="黑体" w:cs="黑体"/>
              <w:sz w:val="24"/>
              <w:szCs w:val="24"/>
            </w:rPr>
            <w:fldChar w:fldCharType="separate"/>
          </w:r>
          <w:r>
            <w:rPr>
              <w:rFonts w:hint="eastAsia" w:ascii="黑体" w:hAnsi="黑体" w:eastAsia="黑体" w:cs="黑体"/>
              <w:sz w:val="24"/>
              <w:szCs w:val="24"/>
            </w:rPr>
            <w:t>16</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14"/>
            <w:tabs>
              <w:tab w:val="right" w:leader="dot" w:pos="8845"/>
            </w:tabs>
            <w:spacing w:line="480" w:lineRule="exac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_Toc31102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val="0"/>
              <w:sz w:val="24"/>
              <w:szCs w:val="24"/>
            </w:rPr>
            <w:t>（一）</w:t>
          </w:r>
          <w:r>
            <w:rPr>
              <w:rFonts w:hint="eastAsia" w:asciiTheme="majorEastAsia" w:hAnsiTheme="majorEastAsia" w:eastAsiaTheme="majorEastAsia" w:cstheme="majorEastAsia"/>
              <w:bCs w:val="0"/>
              <w:sz w:val="24"/>
              <w:szCs w:val="24"/>
              <w:lang w:val="en-US" w:eastAsia="zh-CN"/>
            </w:rPr>
            <w:t>免于追究责任人员</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_Toc31102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4"/>
            <w:tabs>
              <w:tab w:val="right" w:leader="dot" w:pos="8845"/>
            </w:tabs>
            <w:spacing w:line="480" w:lineRule="exac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_Toc15150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val="0"/>
              <w:sz w:val="24"/>
              <w:szCs w:val="24"/>
            </w:rPr>
            <w:t>（</w:t>
          </w:r>
          <w:r>
            <w:rPr>
              <w:rFonts w:hint="eastAsia" w:asciiTheme="majorEastAsia" w:hAnsiTheme="majorEastAsia" w:eastAsiaTheme="majorEastAsia" w:cstheme="majorEastAsia"/>
              <w:bCs w:val="0"/>
              <w:sz w:val="24"/>
              <w:szCs w:val="24"/>
              <w:lang w:val="en-US" w:eastAsia="zh-CN"/>
            </w:rPr>
            <w:t>二</w:t>
          </w:r>
          <w:r>
            <w:rPr>
              <w:rFonts w:hint="eastAsia" w:asciiTheme="majorEastAsia" w:hAnsiTheme="majorEastAsia" w:eastAsiaTheme="majorEastAsia" w:cstheme="majorEastAsia"/>
              <w:bCs w:val="0"/>
              <w:sz w:val="24"/>
              <w:szCs w:val="24"/>
            </w:rPr>
            <w:t>）对</w:t>
          </w:r>
          <w:r>
            <w:rPr>
              <w:rFonts w:hint="eastAsia" w:asciiTheme="majorEastAsia" w:hAnsiTheme="majorEastAsia" w:eastAsiaTheme="majorEastAsia" w:cstheme="majorEastAsia"/>
              <w:bCs w:val="0"/>
              <w:sz w:val="24"/>
              <w:szCs w:val="24"/>
              <w:lang w:val="en-US" w:eastAsia="zh-CN"/>
            </w:rPr>
            <w:t>有关公职</w:t>
          </w:r>
          <w:r>
            <w:rPr>
              <w:rFonts w:hint="eastAsia" w:asciiTheme="majorEastAsia" w:hAnsiTheme="majorEastAsia" w:eastAsiaTheme="majorEastAsia" w:cstheme="majorEastAsia"/>
              <w:bCs w:val="0"/>
              <w:sz w:val="24"/>
              <w:szCs w:val="24"/>
            </w:rPr>
            <w:t>人员的处理建议</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_Toc15150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4"/>
            <w:tabs>
              <w:tab w:val="right" w:leader="dot" w:pos="8845"/>
            </w:tabs>
            <w:spacing w:line="480" w:lineRule="exac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_Toc20374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val="0"/>
              <w:sz w:val="24"/>
              <w:szCs w:val="24"/>
            </w:rPr>
            <w:t>（</w:t>
          </w:r>
          <w:r>
            <w:rPr>
              <w:rFonts w:hint="eastAsia" w:asciiTheme="majorEastAsia" w:hAnsiTheme="majorEastAsia" w:eastAsiaTheme="majorEastAsia" w:cstheme="majorEastAsia"/>
              <w:bCs w:val="0"/>
              <w:sz w:val="24"/>
              <w:szCs w:val="24"/>
              <w:lang w:val="en-US" w:eastAsia="zh-CN"/>
            </w:rPr>
            <w:t>三</w:t>
          </w:r>
          <w:r>
            <w:rPr>
              <w:rFonts w:hint="eastAsia" w:asciiTheme="majorEastAsia" w:hAnsiTheme="majorEastAsia" w:eastAsiaTheme="majorEastAsia" w:cstheme="majorEastAsia"/>
              <w:bCs w:val="0"/>
              <w:sz w:val="24"/>
              <w:szCs w:val="24"/>
            </w:rPr>
            <w:t>）对企业相关人员的处理建议</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_Toc20374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4"/>
            <w:tabs>
              <w:tab w:val="right" w:leader="dot" w:pos="8845"/>
            </w:tabs>
            <w:spacing w:line="480" w:lineRule="exact"/>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_Toc19427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val="0"/>
              <w:kern w:val="2"/>
              <w:sz w:val="24"/>
              <w:szCs w:val="24"/>
              <w:lang w:val="en-US" w:eastAsia="zh-CN" w:bidi="ar-SA"/>
            </w:rPr>
            <w:t>（四）</w:t>
          </w:r>
          <w:r>
            <w:rPr>
              <w:rFonts w:hint="eastAsia" w:asciiTheme="majorEastAsia" w:hAnsiTheme="majorEastAsia" w:eastAsiaTheme="majorEastAsia" w:cstheme="majorEastAsia"/>
              <w:bCs w:val="0"/>
              <w:sz w:val="24"/>
              <w:szCs w:val="24"/>
            </w:rPr>
            <w:t>对事故发生单位的行政处罚建议</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_Toc19427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18</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3"/>
            <w:tabs>
              <w:tab w:val="right" w:leader="dot" w:pos="8845"/>
            </w:tabs>
            <w:spacing w:line="480" w:lineRule="exact"/>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_Toc6298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五</w:t>
          </w:r>
          <w:r>
            <w:rPr>
              <w:rFonts w:hint="eastAsia" w:ascii="黑体" w:hAnsi="黑体" w:eastAsia="黑体" w:cs="黑体"/>
              <w:sz w:val="24"/>
              <w:szCs w:val="24"/>
            </w:rPr>
            <w:t>、事故防范和整改措施</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_Toc6298 \h </w:instrText>
          </w:r>
          <w:r>
            <w:rPr>
              <w:rFonts w:hint="eastAsia" w:ascii="黑体" w:hAnsi="黑体" w:eastAsia="黑体" w:cs="黑体"/>
              <w:sz w:val="24"/>
              <w:szCs w:val="24"/>
            </w:rPr>
            <w:fldChar w:fldCharType="separate"/>
          </w:r>
          <w:r>
            <w:rPr>
              <w:rFonts w:hint="eastAsia" w:ascii="黑体" w:hAnsi="黑体" w:eastAsia="黑体" w:cs="黑体"/>
              <w:sz w:val="24"/>
              <w:szCs w:val="24"/>
            </w:rPr>
            <w:t>18</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13"/>
            <w:tabs>
              <w:tab w:val="right" w:leader="dot" w:pos="8845"/>
            </w:tabs>
            <w:spacing w:line="480" w:lineRule="exact"/>
          </w:pPr>
          <w:r>
            <w:rPr>
              <w:szCs w:val="24"/>
            </w:rPr>
            <w:fldChar w:fldCharType="begin"/>
          </w:r>
          <w:r>
            <w:rPr>
              <w:szCs w:val="24"/>
            </w:rPr>
            <w:instrText xml:space="preserve"> HYPERLINK \l _Toc25354 </w:instrText>
          </w:r>
          <w:r>
            <w:rPr>
              <w:szCs w:val="24"/>
            </w:rPr>
            <w:fldChar w:fldCharType="separate"/>
          </w:r>
          <w:r>
            <w:rPr>
              <w:rFonts w:hint="eastAsia" w:ascii="黑体" w:hAnsi="黑体" w:eastAsia="黑体" w:cs="黑体"/>
              <w:kern w:val="2"/>
              <w:sz w:val="24"/>
              <w:szCs w:val="24"/>
              <w:lang w:eastAsia="zh-CN"/>
            </w:rPr>
            <w:t>附件</w:t>
          </w:r>
          <w:r>
            <w:rPr>
              <w:rFonts w:hint="eastAsia" w:ascii="黑体" w:hAnsi="黑体" w:eastAsia="黑体" w:cs="黑体"/>
              <w:kern w:val="2"/>
              <w:sz w:val="24"/>
              <w:szCs w:val="24"/>
              <w:lang w:val="en-US" w:eastAsia="zh-CN"/>
            </w:rPr>
            <w:t>1</w:t>
          </w:r>
          <w:r>
            <w:rPr>
              <w:rFonts w:hint="eastAsia" w:ascii="黑体" w:hAnsi="黑体" w:eastAsia="黑体" w:cs="黑体"/>
              <w:w w:val="90"/>
              <w:kern w:val="2"/>
              <w:sz w:val="24"/>
              <w:szCs w:val="24"/>
              <w:lang w:val="en-US" w:eastAsia="zh-CN"/>
            </w:rPr>
            <w:t>泉港南埔将乐县汉宇物流有限公司“5·4”一般高处坠落事故调查报告确认情况</w:t>
          </w:r>
          <w: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_Toc25354 \h </w:instrText>
          </w:r>
          <w:r>
            <w:rPr>
              <w:rFonts w:hint="eastAsia" w:ascii="黑体" w:hAnsi="黑体" w:eastAsia="黑体" w:cs="黑体"/>
              <w:sz w:val="24"/>
              <w:szCs w:val="24"/>
            </w:rPr>
            <w:fldChar w:fldCharType="separate"/>
          </w:r>
          <w:r>
            <w:rPr>
              <w:rFonts w:hint="eastAsia" w:ascii="黑体" w:hAnsi="黑体" w:eastAsia="黑体" w:cs="黑体"/>
              <w:sz w:val="24"/>
              <w:szCs w:val="24"/>
            </w:rPr>
            <w:t>21</w:t>
          </w:r>
          <w:r>
            <w:rPr>
              <w:rFonts w:hint="eastAsia" w:ascii="黑体" w:hAnsi="黑体" w:eastAsia="黑体" w:cs="黑体"/>
              <w:sz w:val="24"/>
              <w:szCs w:val="24"/>
            </w:rPr>
            <w:fldChar w:fldCharType="end"/>
          </w:r>
          <w:r>
            <w:rPr>
              <w:szCs w:val="24"/>
            </w:rPr>
            <w:fldChar w:fldCharType="end"/>
          </w:r>
        </w:p>
        <w:p>
          <w:pPr>
            <w:pStyle w:val="13"/>
            <w:tabs>
              <w:tab w:val="right" w:leader="dot" w:pos="8845"/>
            </w:tabs>
            <w:spacing w:line="480" w:lineRule="exact"/>
          </w:pPr>
          <w:r>
            <w:rPr>
              <w:szCs w:val="24"/>
            </w:rPr>
            <w:fldChar w:fldCharType="begin"/>
          </w:r>
          <w:r>
            <w:rPr>
              <w:szCs w:val="24"/>
            </w:rPr>
            <w:instrText xml:space="preserve"> HYPERLINK \l _Toc20911 </w:instrText>
          </w:r>
          <w:r>
            <w:rPr>
              <w:szCs w:val="24"/>
            </w:rPr>
            <w:fldChar w:fldCharType="separate"/>
          </w:r>
          <w:r>
            <w:rPr>
              <w:rFonts w:hint="eastAsia" w:ascii="黑体" w:hAnsi="黑体" w:eastAsia="黑体" w:cs="黑体"/>
              <w:kern w:val="2"/>
              <w:sz w:val="24"/>
              <w:szCs w:val="24"/>
              <w:lang w:eastAsia="zh-CN"/>
            </w:rPr>
            <w:t>附件</w:t>
          </w:r>
          <w:r>
            <w:rPr>
              <w:rFonts w:hint="eastAsia" w:ascii="黑体" w:hAnsi="黑体" w:eastAsia="黑体" w:cs="黑体"/>
              <w:kern w:val="2"/>
              <w:sz w:val="24"/>
              <w:szCs w:val="24"/>
              <w:lang w:val="en-US" w:eastAsia="zh-CN"/>
            </w:rPr>
            <w:t>2</w:t>
          </w:r>
          <w:r>
            <w:rPr>
              <w:rFonts w:hint="eastAsia" w:ascii="黑体" w:hAnsi="黑体" w:eastAsia="黑体" w:cs="黑体"/>
              <w:w w:val="95"/>
              <w:kern w:val="2"/>
              <w:sz w:val="24"/>
              <w:szCs w:val="24"/>
              <w:lang w:val="en-US" w:eastAsia="zh-CN"/>
            </w:rPr>
            <w:t>泉港南埔将乐县汉宇物流有限公司“5·4”一般高处坠落事故技术鉴定报告</w:t>
          </w:r>
          <w: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_Toc20911 \h </w:instrText>
          </w:r>
          <w:r>
            <w:rPr>
              <w:rFonts w:hint="eastAsia" w:ascii="黑体" w:hAnsi="黑体" w:eastAsia="黑体" w:cs="黑体"/>
              <w:sz w:val="24"/>
              <w:szCs w:val="24"/>
            </w:rPr>
            <w:fldChar w:fldCharType="separate"/>
          </w:r>
          <w:r>
            <w:rPr>
              <w:rFonts w:hint="eastAsia" w:ascii="黑体" w:hAnsi="黑体" w:eastAsia="黑体" w:cs="黑体"/>
              <w:sz w:val="24"/>
              <w:szCs w:val="24"/>
            </w:rPr>
            <w:t>22</w:t>
          </w:r>
          <w:r>
            <w:rPr>
              <w:rFonts w:hint="eastAsia" w:ascii="黑体" w:hAnsi="黑体" w:eastAsia="黑体" w:cs="黑体"/>
              <w:sz w:val="24"/>
              <w:szCs w:val="24"/>
            </w:rPr>
            <w:fldChar w:fldCharType="end"/>
          </w:r>
          <w:r>
            <w:rPr>
              <w:szCs w:val="24"/>
            </w:rPr>
            <w:fldChar w:fldCharType="end"/>
          </w:r>
        </w:p>
        <w:p>
          <w:pPr>
            <w:spacing w:line="480" w:lineRule="exact"/>
          </w:pPr>
          <w:r>
            <w:rPr>
              <w:szCs w:val="24"/>
            </w:rPr>
            <w:fldChar w:fldCharType="end"/>
          </w:r>
        </w:p>
      </w:sdtContent>
    </w:sdt>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0"/>
        <w:rPr>
          <w:rFonts w:hint="eastAsia" w:ascii="Calibri" w:hAnsi="Calibri" w:eastAsia="仿宋_GB2312" w:cs="Times New Roman"/>
          <w:kern w:val="2"/>
          <w:sz w:val="32"/>
          <w:szCs w:val="22"/>
          <w:lang w:val="en-US" w:eastAsia="zh-CN" w:bidi="ar-SA"/>
        </w:rPr>
        <w:sectPr>
          <w:footerReference r:id="rId5" w:type="default"/>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9"/>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泉港</w:t>
      </w:r>
      <w:r>
        <w:rPr>
          <w:rFonts w:hint="eastAsia" w:ascii="方正小标宋简体" w:hAnsi="方正小标宋简体" w:eastAsia="方正小标宋简体" w:cs="方正小标宋简体"/>
          <w:sz w:val="44"/>
          <w:szCs w:val="44"/>
          <w:lang w:val="en-US" w:eastAsia="zh-CN"/>
        </w:rPr>
        <w:t>南埔将乐县汉宇物流有限公司</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lang w:val="en-US" w:eastAsia="zh-CN"/>
        </w:rPr>
        <w:t>4</w:t>
      </w:r>
      <w:bookmarkEnd w:id="25"/>
      <w:bookmarkEnd w:id="26"/>
      <w:bookmarkEnd w:id="27"/>
      <w:bookmarkEnd w:id="28"/>
      <w:bookmarkEnd w:id="29"/>
      <w:bookmarkEnd w:id="30"/>
      <w:r>
        <w:rPr>
          <w:rFonts w:hint="eastAsia" w:ascii="方正小标宋简体" w:hAnsi="方正小标宋简体" w:eastAsia="方正小标宋简体" w:cs="方正小标宋简体"/>
          <w:sz w:val="44"/>
          <w:szCs w:val="44"/>
          <w:lang w:eastAsia="zh-CN"/>
        </w:rPr>
        <w:t>”</w:t>
      </w:r>
    </w:p>
    <w:p>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9"/>
        <w:rPr>
          <w:rFonts w:hint="eastAsia" w:ascii="方正小标宋简体" w:hAnsi="方正小标宋简体" w:eastAsia="方正小标宋简体" w:cs="方正小标宋简体"/>
          <w:sz w:val="44"/>
          <w:szCs w:val="44"/>
          <w:lang w:eastAsia="zh-CN"/>
        </w:rPr>
      </w:pPr>
      <w:bookmarkStart w:id="42" w:name="_Toc22765"/>
      <w:bookmarkStart w:id="43" w:name="_Toc28225"/>
      <w:bookmarkStart w:id="44" w:name="_Toc12814"/>
      <w:bookmarkStart w:id="45" w:name="_Toc20790"/>
      <w:bookmarkStart w:id="46" w:name="_Toc5282"/>
      <w:bookmarkStart w:id="47" w:name="_Toc2644"/>
      <w:r>
        <w:rPr>
          <w:rFonts w:hint="eastAsia" w:ascii="方正小标宋简体" w:hAnsi="方正小标宋简体" w:eastAsia="方正小标宋简体" w:cs="方正小标宋简体"/>
          <w:sz w:val="44"/>
          <w:szCs w:val="44"/>
          <w:lang w:eastAsia="zh-CN"/>
        </w:rPr>
        <w:t>一般</w:t>
      </w:r>
      <w:r>
        <w:rPr>
          <w:rFonts w:hint="eastAsia" w:ascii="方正小标宋简体" w:hAnsi="方正小标宋简体" w:eastAsia="方正小标宋简体" w:cs="方正小标宋简体"/>
          <w:sz w:val="44"/>
          <w:szCs w:val="44"/>
          <w:lang w:val="en-US" w:eastAsia="zh-CN"/>
        </w:rPr>
        <w:t>高处坠落</w:t>
      </w:r>
      <w:r>
        <w:rPr>
          <w:rFonts w:hint="eastAsia" w:ascii="方正小标宋简体" w:hAnsi="方正小标宋简体" w:eastAsia="方正小标宋简体" w:cs="方正小标宋简体"/>
          <w:sz w:val="44"/>
          <w:szCs w:val="44"/>
          <w:lang w:eastAsia="zh-CN"/>
        </w:rPr>
        <w:t>事故调查报告</w:t>
      </w:r>
      <w:bookmarkEnd w:id="42"/>
      <w:bookmarkEnd w:id="43"/>
      <w:bookmarkEnd w:id="44"/>
      <w:bookmarkEnd w:id="45"/>
      <w:bookmarkEnd w:id="46"/>
      <w:bookmarkEnd w:id="47"/>
    </w:p>
    <w:bookmarkEnd w:id="31"/>
    <w:bookmarkEnd w:id="32"/>
    <w:bookmarkEnd w:id="33"/>
    <w:bookmarkEnd w:id="34"/>
    <w:bookmarkEnd w:id="35"/>
    <w:bookmarkEnd w:id="36"/>
    <w:bookmarkEnd w:id="37"/>
    <w:bookmarkEnd w:id="38"/>
    <w:bookmarkEnd w:id="39"/>
    <w:bookmarkEnd w:id="40"/>
    <w:bookmarkEnd w:id="41"/>
    <w:p>
      <w:pPr>
        <w:keepNext w:val="0"/>
        <w:keepLines w:val="0"/>
        <w:pageBreakBefore w:val="0"/>
        <w:kinsoku/>
        <w:wordWrap/>
        <w:overflowPunct/>
        <w:topLinePunct w:val="0"/>
        <w:autoSpaceDE/>
        <w:autoSpaceDN/>
        <w:bidi w:val="0"/>
        <w:adjustRightInd/>
        <w:snapToGrid/>
        <w:spacing w:line="576" w:lineRule="exact"/>
        <w:ind w:left="0" w:leftChars="0" w:firstLine="640" w:firstLineChars="200"/>
        <w:jc w:val="both"/>
        <w:textAlignment w:val="auto"/>
        <w:outlineLvl w:val="9"/>
        <w:rPr>
          <w:rFonts w:hint="eastAsia" w:ascii="仿宋_GB2312" w:hAnsi="宋体" w:eastAsia="仿宋_GB2312" w:cs="宋体"/>
          <w:bCs/>
          <w:kern w:val="0"/>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60"/>
        <w:textAlignment w:val="auto"/>
        <w:rPr>
          <w:rFonts w:hint="eastAsia" w:ascii="宋体" w:hAnsi="宋体" w:eastAsia="仿宋_GB2312" w:cs="Times New Roman"/>
          <w:sz w:val="32"/>
          <w:szCs w:val="32"/>
        </w:rPr>
      </w:pPr>
      <w:r>
        <w:rPr>
          <w:rFonts w:hint="eastAsia" w:ascii="宋体" w:hAnsi="宋体" w:eastAsia="仿宋_GB2312"/>
          <w:sz w:val="32"/>
          <w:szCs w:val="32"/>
          <w:highlight w:val="none"/>
        </w:rPr>
        <w:t>2025年5月4日14时20分许，泉港区南埔镇肖厝港码头</w:t>
      </w:r>
      <w:r>
        <w:rPr>
          <w:rFonts w:hint="eastAsia" w:ascii="宋体" w:hAnsi="宋体"/>
          <w:sz w:val="32"/>
          <w:szCs w:val="32"/>
          <w:highlight w:val="none"/>
          <w:lang w:val="en-US" w:eastAsia="zh-CN"/>
        </w:rPr>
        <w:t>发生一起一般高处坠落事故，</w:t>
      </w:r>
      <w:r>
        <w:rPr>
          <w:rFonts w:hint="eastAsia" w:ascii="宋体" w:hAnsi="宋体" w:cs="Times New Roman"/>
          <w:sz w:val="32"/>
          <w:szCs w:val="32"/>
          <w:lang w:val="en-US" w:eastAsia="zh-CN"/>
        </w:rPr>
        <w:t>最终造成1人死亡事故</w:t>
      </w:r>
      <w:r>
        <w:rPr>
          <w:rFonts w:hint="eastAsia" w:ascii="宋体" w:hAnsi="宋体" w:eastAsia="仿宋_GB2312" w:cs="Times New Roman"/>
          <w:sz w:val="32"/>
          <w:szCs w:val="32"/>
        </w:rPr>
        <w:t>。</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宋体" w:hAnsi="宋体" w:eastAsia="仿宋_GB2312" w:cs="仿宋_GB2312"/>
          <w:kern w:val="0"/>
          <w:sz w:val="32"/>
          <w:szCs w:val="32"/>
        </w:rPr>
      </w:pPr>
      <w:r>
        <w:rPr>
          <w:rFonts w:hint="eastAsia" w:ascii="宋体" w:hAnsi="宋体" w:eastAsia="仿宋_GB2312" w:cs="仿宋_GB2312"/>
          <w:kern w:val="0"/>
          <w:sz w:val="32"/>
          <w:szCs w:val="32"/>
          <w:lang w:val="en-US" w:eastAsia="zh-CN"/>
        </w:rPr>
        <w:t>依据《中华人民共和国安全生产法》和《生产安全事故报告和调查处理条例》（国务院令第493号）等有关法律法规规定，泉港区人民政府于202</w:t>
      </w:r>
      <w:r>
        <w:rPr>
          <w:rFonts w:hint="eastAsia" w:ascii="宋体" w:hAnsi="宋体" w:cs="仿宋_GB2312"/>
          <w:kern w:val="0"/>
          <w:sz w:val="32"/>
          <w:szCs w:val="32"/>
          <w:lang w:val="en-US" w:eastAsia="zh-CN"/>
        </w:rPr>
        <w:t>5</w:t>
      </w:r>
      <w:r>
        <w:rPr>
          <w:rFonts w:hint="eastAsia" w:ascii="宋体" w:hAnsi="宋体" w:eastAsia="仿宋_GB2312" w:cs="仿宋_GB2312"/>
          <w:kern w:val="0"/>
          <w:sz w:val="32"/>
          <w:szCs w:val="32"/>
          <w:lang w:val="en-US" w:eastAsia="zh-CN"/>
        </w:rPr>
        <w:t>年</w:t>
      </w:r>
      <w:r>
        <w:rPr>
          <w:rFonts w:hint="eastAsia" w:ascii="宋体" w:hAnsi="宋体" w:cs="仿宋_GB2312"/>
          <w:kern w:val="0"/>
          <w:sz w:val="32"/>
          <w:szCs w:val="32"/>
          <w:lang w:val="en-US" w:eastAsia="zh-CN"/>
        </w:rPr>
        <w:t>5</w:t>
      </w:r>
      <w:r>
        <w:rPr>
          <w:rFonts w:hint="eastAsia" w:ascii="宋体" w:hAnsi="宋体" w:eastAsia="仿宋_GB2312" w:cs="仿宋_GB2312"/>
          <w:kern w:val="0"/>
          <w:sz w:val="32"/>
          <w:szCs w:val="32"/>
          <w:lang w:val="en-US" w:eastAsia="zh-CN"/>
        </w:rPr>
        <w:t>月1</w:t>
      </w:r>
      <w:r>
        <w:rPr>
          <w:rFonts w:hint="eastAsia" w:ascii="宋体" w:hAnsi="宋体" w:cs="仿宋_GB2312"/>
          <w:kern w:val="0"/>
          <w:sz w:val="32"/>
          <w:szCs w:val="32"/>
          <w:lang w:val="en-US" w:eastAsia="zh-CN"/>
        </w:rPr>
        <w:t>2</w:t>
      </w:r>
      <w:r>
        <w:rPr>
          <w:rFonts w:hint="eastAsia" w:ascii="宋体" w:hAnsi="宋体" w:eastAsia="仿宋_GB2312" w:cs="仿宋_GB2312"/>
          <w:kern w:val="0"/>
          <w:sz w:val="32"/>
          <w:szCs w:val="32"/>
          <w:lang w:val="en-US" w:eastAsia="zh-CN"/>
        </w:rPr>
        <w:t>日授权区应急局牵头组织成立泉港</w:t>
      </w:r>
      <w:r>
        <w:rPr>
          <w:rFonts w:hint="eastAsia" w:ascii="宋体" w:hAnsi="宋体" w:cs="仿宋_GB2312"/>
          <w:kern w:val="0"/>
          <w:sz w:val="32"/>
          <w:szCs w:val="32"/>
          <w:lang w:val="en-US" w:eastAsia="zh-CN"/>
        </w:rPr>
        <w:t>南埔“5</w:t>
      </w:r>
      <w:r>
        <w:rPr>
          <w:rFonts w:hint="eastAsia" w:ascii="宋体" w:hAnsi="宋体" w:eastAsia="仿宋_GB2312" w:cs="仿宋_GB2312"/>
          <w:kern w:val="0"/>
          <w:sz w:val="32"/>
          <w:szCs w:val="32"/>
          <w:lang w:val="en-US" w:eastAsia="zh-CN"/>
        </w:rPr>
        <w:t>·</w:t>
      </w:r>
      <w:r>
        <w:rPr>
          <w:rFonts w:hint="eastAsia" w:ascii="宋体" w:hAnsi="宋体" w:cs="仿宋_GB2312"/>
          <w:kern w:val="0"/>
          <w:sz w:val="32"/>
          <w:szCs w:val="32"/>
          <w:lang w:val="en-US" w:eastAsia="zh-CN"/>
        </w:rPr>
        <w:t>4”一般亡人</w:t>
      </w:r>
      <w:r>
        <w:rPr>
          <w:rFonts w:hint="eastAsia" w:ascii="宋体" w:hAnsi="宋体" w:eastAsia="仿宋_GB2312" w:cs="仿宋_GB2312"/>
          <w:kern w:val="0"/>
          <w:sz w:val="32"/>
          <w:szCs w:val="32"/>
          <w:lang w:val="en-US" w:eastAsia="zh-CN"/>
        </w:rPr>
        <w:t>事故调查组（以下简称</w:t>
      </w:r>
      <w:r>
        <w:rPr>
          <w:rFonts w:hint="eastAsia" w:ascii="宋体" w:hAnsi="宋体" w:cs="仿宋_GB2312"/>
          <w:kern w:val="0"/>
          <w:sz w:val="32"/>
          <w:szCs w:val="32"/>
          <w:lang w:val="en-US" w:eastAsia="zh-CN"/>
        </w:rPr>
        <w:t>“</w:t>
      </w:r>
      <w:r>
        <w:rPr>
          <w:rFonts w:hint="eastAsia" w:ascii="宋体" w:hAnsi="宋体" w:eastAsia="仿宋_GB2312" w:cs="仿宋_GB2312"/>
          <w:kern w:val="0"/>
          <w:sz w:val="32"/>
          <w:szCs w:val="32"/>
          <w:lang w:val="en-US" w:eastAsia="zh-CN"/>
        </w:rPr>
        <w:t>事故调查组</w:t>
      </w:r>
      <w:r>
        <w:rPr>
          <w:rFonts w:hint="eastAsia" w:ascii="宋体" w:hAnsi="宋体" w:cs="仿宋_GB2312"/>
          <w:kern w:val="0"/>
          <w:sz w:val="32"/>
          <w:szCs w:val="32"/>
          <w:lang w:val="en-US" w:eastAsia="zh-CN"/>
        </w:rPr>
        <w:t>”</w:t>
      </w:r>
      <w:r>
        <w:rPr>
          <w:rFonts w:hint="eastAsia" w:ascii="宋体" w:hAnsi="宋体" w:eastAsia="仿宋_GB2312" w:cs="仿宋_GB2312"/>
          <w:kern w:val="0"/>
          <w:sz w:val="32"/>
          <w:szCs w:val="32"/>
          <w:lang w:val="en-US" w:eastAsia="zh-CN"/>
        </w:rPr>
        <w:t>），</w:t>
      </w:r>
      <w:r>
        <w:rPr>
          <w:rFonts w:hint="eastAsia" w:ascii="宋体" w:hAnsi="宋体" w:eastAsia="仿宋_GB2312" w:cs="仿宋_GB2312"/>
          <w:kern w:val="0"/>
          <w:sz w:val="32"/>
          <w:szCs w:val="32"/>
        </w:rPr>
        <w:t>成员单位包括</w:t>
      </w:r>
      <w:r>
        <w:rPr>
          <w:rFonts w:hint="eastAsia" w:ascii="宋体" w:hAnsi="宋体" w:cs="仿宋_GB2312"/>
          <w:kern w:val="0"/>
          <w:sz w:val="32"/>
          <w:szCs w:val="32"/>
          <w:lang w:eastAsia="zh-CN"/>
        </w:rPr>
        <w:t>区</w:t>
      </w:r>
      <w:r>
        <w:rPr>
          <w:rFonts w:hint="eastAsia" w:ascii="宋体" w:hAnsi="宋体" w:cs="仿宋_GB2312"/>
          <w:kern w:val="0"/>
          <w:sz w:val="32"/>
          <w:szCs w:val="32"/>
          <w:lang w:val="en-US" w:eastAsia="zh-CN"/>
        </w:rPr>
        <w:t>应急局</w:t>
      </w:r>
      <w:r>
        <w:rPr>
          <w:rFonts w:hint="eastAsia" w:ascii="宋体" w:hAnsi="宋体" w:cs="仿宋_GB2312"/>
          <w:kern w:val="0"/>
          <w:sz w:val="32"/>
          <w:szCs w:val="32"/>
          <w:lang w:eastAsia="zh-CN"/>
        </w:rPr>
        <w:t>、人社局、公安分局、交通运输局、总工会、肖厝港务站、南埔镇、</w:t>
      </w:r>
      <w:r>
        <w:rPr>
          <w:rFonts w:hint="eastAsia" w:ascii="宋体" w:hAnsi="宋体" w:cs="仿宋_GB2312"/>
          <w:kern w:val="0"/>
          <w:sz w:val="32"/>
          <w:szCs w:val="32"/>
          <w:lang w:val="en-US" w:eastAsia="zh-CN"/>
        </w:rPr>
        <w:t>将乐县城建和交通局</w:t>
      </w:r>
      <w:r>
        <w:rPr>
          <w:rFonts w:hint="eastAsia" w:ascii="宋体" w:hAnsi="宋体" w:eastAsia="仿宋_GB2312" w:cs="仿宋_GB2312"/>
          <w:kern w:val="0"/>
          <w:sz w:val="32"/>
          <w:szCs w:val="32"/>
        </w:rPr>
        <w:t>等单位，同时邀请</w:t>
      </w:r>
      <w:r>
        <w:rPr>
          <w:rFonts w:hint="eastAsia" w:ascii="宋体" w:hAnsi="宋体" w:eastAsia="仿宋_GB2312" w:cs="仿宋_GB2312"/>
          <w:kern w:val="0"/>
          <w:sz w:val="32"/>
          <w:szCs w:val="32"/>
          <w:lang w:eastAsia="zh-CN"/>
        </w:rPr>
        <w:t>泉港区纪委（监委）</w:t>
      </w:r>
      <w:r>
        <w:rPr>
          <w:rFonts w:hint="eastAsia" w:ascii="宋体" w:hAnsi="宋体" w:eastAsia="仿宋_GB2312" w:cs="仿宋_GB2312"/>
          <w:kern w:val="0"/>
          <w:sz w:val="32"/>
          <w:szCs w:val="32"/>
        </w:rPr>
        <w:t>派员介入事故调查工作</w:t>
      </w:r>
      <w:r>
        <w:rPr>
          <w:rFonts w:hint="eastAsia" w:ascii="宋体" w:hAnsi="宋体" w:cs="仿宋_GB2312"/>
          <w:kern w:val="0"/>
          <w:sz w:val="32"/>
          <w:szCs w:val="32"/>
          <w:lang w:eastAsia="zh-CN"/>
        </w:rPr>
        <w:t>，</w:t>
      </w:r>
      <w:r>
        <w:rPr>
          <w:rFonts w:hint="eastAsia" w:ascii="宋体" w:hAnsi="宋体" w:cs="仿宋_GB2312"/>
          <w:kern w:val="0"/>
          <w:sz w:val="32"/>
          <w:szCs w:val="32"/>
          <w:lang w:val="en-US" w:eastAsia="zh-CN"/>
        </w:rPr>
        <w:t>聘请泉港区安全长驻专家肖良财参与事故调查</w:t>
      </w:r>
      <w:r>
        <w:rPr>
          <w:rFonts w:hint="eastAsia" w:ascii="宋体" w:hAnsi="宋体" w:eastAsia="仿宋_GB2312" w:cs="仿宋_GB2312"/>
          <w:kern w:val="0"/>
          <w:sz w:val="32"/>
          <w:szCs w:val="32"/>
        </w:rPr>
        <w:t>。事故调查组通过现场勘察、询问相关人员、查阅有关资料等方式，查明事故发生的经过、原因、人员伤亡和直接经济损失，认定事故性质和责任，提出对有关责任单位和责任人的处理建议，分析了事故暴露出的突出问题和教训，提出了防范措施建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宋体" w:hAnsi="宋体" w:eastAsia="仿宋_GB2312" w:cs="仿宋_GB2312"/>
          <w:kern w:val="0"/>
          <w:sz w:val="32"/>
          <w:szCs w:val="32"/>
          <w:u w:val="none"/>
          <w:lang w:val="en-US" w:eastAsia="zh-CN"/>
        </w:rPr>
      </w:pPr>
      <w:r>
        <w:rPr>
          <w:rFonts w:hint="eastAsia" w:ascii="宋体" w:hAnsi="宋体" w:eastAsia="仿宋_GB2312" w:cs="仿宋_GB2312"/>
          <w:kern w:val="0"/>
          <w:sz w:val="32"/>
          <w:szCs w:val="32"/>
          <w:u w:val="none"/>
          <w:lang w:eastAsia="zh-CN"/>
        </w:rPr>
        <w:t>经调查认定，泉港南埔将乐县汉宇物流有限公司</w:t>
      </w:r>
      <w:r>
        <w:rPr>
          <w:rFonts w:hint="eastAsia" w:ascii="宋体" w:hAnsi="宋体" w:cs="仿宋_GB2312"/>
          <w:kern w:val="0"/>
          <w:sz w:val="32"/>
          <w:szCs w:val="32"/>
          <w:u w:val="none"/>
          <w:lang w:eastAsia="zh-CN"/>
        </w:rPr>
        <w:t>“</w:t>
      </w:r>
      <w:r>
        <w:rPr>
          <w:rFonts w:hint="eastAsia" w:ascii="宋体" w:hAnsi="宋体" w:eastAsia="仿宋_GB2312" w:cs="仿宋_GB2312"/>
          <w:kern w:val="0"/>
          <w:sz w:val="32"/>
          <w:szCs w:val="32"/>
          <w:u w:val="none"/>
          <w:lang w:eastAsia="zh-CN"/>
        </w:rPr>
        <w:t>5·4</w:t>
      </w:r>
      <w:r>
        <w:rPr>
          <w:rFonts w:hint="eastAsia" w:ascii="宋体" w:hAnsi="宋体" w:cs="仿宋_GB2312"/>
          <w:kern w:val="0"/>
          <w:sz w:val="32"/>
          <w:szCs w:val="32"/>
          <w:u w:val="none"/>
          <w:lang w:eastAsia="zh-CN"/>
        </w:rPr>
        <w:t>”</w:t>
      </w:r>
      <w:r>
        <w:rPr>
          <w:rFonts w:hint="eastAsia" w:ascii="宋体" w:hAnsi="宋体" w:eastAsia="仿宋_GB2312" w:cs="仿宋_GB2312"/>
          <w:kern w:val="0"/>
          <w:sz w:val="32"/>
          <w:szCs w:val="32"/>
          <w:u w:val="none"/>
          <w:lang w:eastAsia="zh-CN"/>
        </w:rPr>
        <w:t>一般高处坠落事故是一起</w:t>
      </w:r>
      <w:r>
        <w:rPr>
          <w:rFonts w:hint="eastAsia" w:ascii="宋体" w:hAnsi="宋体" w:cs="仿宋_GB2312"/>
          <w:kern w:val="0"/>
          <w:sz w:val="32"/>
          <w:szCs w:val="32"/>
          <w:u w:val="none"/>
          <w:lang w:val="en-US" w:eastAsia="zh-CN"/>
        </w:rPr>
        <w:t>因</w:t>
      </w:r>
      <w:r>
        <w:rPr>
          <w:rFonts w:hint="eastAsia" w:ascii="宋体" w:hAnsi="宋体" w:cs="仿宋_GB2312"/>
          <w:kern w:val="0"/>
          <w:sz w:val="32"/>
          <w:szCs w:val="32"/>
          <w:highlight w:val="none"/>
          <w:u w:val="none"/>
          <w:lang w:val="en-US" w:eastAsia="zh-CN"/>
        </w:rPr>
        <w:t>驾驶员安全意识淡薄，违规作业，</w:t>
      </w:r>
      <w:r>
        <w:rPr>
          <w:rFonts w:hint="eastAsia" w:ascii="宋体" w:hAnsi="宋体" w:cs="仿宋_GB2312"/>
          <w:kern w:val="0"/>
          <w:sz w:val="32"/>
          <w:szCs w:val="32"/>
          <w:u w:val="none"/>
          <w:lang w:val="en-US" w:eastAsia="zh-CN"/>
        </w:rPr>
        <w:t>造成高处坠落的一般生产安全责任事故。</w:t>
      </w:r>
    </w:p>
    <w:p>
      <w:pPr>
        <w:pStyle w:val="3"/>
        <w:keepNext/>
        <w:keepLines w:val="0"/>
        <w:pageBreakBefore w:val="0"/>
        <w:widowControl w:val="0"/>
        <w:kinsoku/>
        <w:wordWrap/>
        <w:overflowPunct/>
        <w:topLinePunct w:val="0"/>
        <w:autoSpaceDE/>
        <w:autoSpaceDN/>
        <w:bidi w:val="0"/>
        <w:adjustRightInd/>
        <w:snapToGrid/>
        <w:spacing w:before="0" w:after="0"/>
        <w:ind w:firstLineChars="200"/>
        <w:textAlignment w:val="auto"/>
        <w:rPr>
          <w:rFonts w:hint="eastAsia"/>
          <w:lang w:eastAsia="zh-CN"/>
        </w:rPr>
      </w:pPr>
      <w:bookmarkStart w:id="48" w:name="_Toc22664"/>
      <w:bookmarkStart w:id="49" w:name="_Toc9677"/>
      <w:bookmarkStart w:id="50" w:name="_Toc17237"/>
      <w:bookmarkStart w:id="51" w:name="_Toc14268"/>
      <w:bookmarkStart w:id="52" w:name="_Toc17614"/>
      <w:bookmarkStart w:id="53" w:name="_Toc16965"/>
      <w:bookmarkStart w:id="54" w:name="_Toc19247"/>
      <w:bookmarkStart w:id="55" w:name="_Toc4588"/>
      <w:bookmarkStart w:id="56" w:name="_Toc17080"/>
      <w:bookmarkStart w:id="57" w:name="_Toc15639"/>
      <w:bookmarkStart w:id="58" w:name="_Toc10939"/>
      <w:bookmarkStart w:id="59" w:name="_Toc20633"/>
      <w:bookmarkStart w:id="60" w:name="_Toc27099"/>
      <w:bookmarkStart w:id="61" w:name="_Toc3492"/>
      <w:bookmarkStart w:id="62" w:name="_Toc30566"/>
      <w:bookmarkStart w:id="63" w:name="_Toc21074"/>
      <w:bookmarkStart w:id="64" w:name="_Toc19039"/>
      <w:bookmarkStart w:id="65" w:name="_Toc23765"/>
      <w:bookmarkStart w:id="66" w:name="_Toc14045"/>
      <w:bookmarkStart w:id="67" w:name="_Toc4391"/>
      <w:bookmarkStart w:id="68" w:name="_Toc28315"/>
      <w:bookmarkStart w:id="69" w:name="_Toc29910"/>
      <w:bookmarkStart w:id="70" w:name="_Toc11215"/>
      <w:bookmarkStart w:id="71" w:name="_Toc17656"/>
      <w:r>
        <w:rPr>
          <w:rFonts w:hint="eastAsia"/>
          <w:lang w:eastAsia="zh-CN"/>
        </w:rPr>
        <w:t>一、事故基本情况</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pPr>
        <w:pStyle w:val="4"/>
        <w:keepNext/>
        <w:keepLines w:val="0"/>
        <w:pageBreakBefore w:val="0"/>
        <w:widowControl w:val="0"/>
        <w:kinsoku/>
        <w:wordWrap/>
        <w:overflowPunct/>
        <w:topLinePunct w:val="0"/>
        <w:autoSpaceDE/>
        <w:autoSpaceDN/>
        <w:bidi w:val="0"/>
        <w:adjustRightInd/>
        <w:snapToGrid/>
        <w:spacing w:before="0" w:after="0"/>
        <w:ind w:firstLineChars="200"/>
        <w:textAlignment w:val="auto"/>
        <w:rPr>
          <w:rFonts w:hint="eastAsia" w:ascii="Calibri" w:hAnsi="Calibri" w:eastAsia="楷体_GB2312"/>
        </w:rPr>
      </w:pPr>
      <w:bookmarkStart w:id="72" w:name="_Toc19178"/>
      <w:bookmarkStart w:id="73" w:name="_Toc13512"/>
      <w:bookmarkStart w:id="74" w:name="_Toc6700"/>
      <w:bookmarkStart w:id="75" w:name="_Toc10133"/>
      <w:bookmarkStart w:id="76" w:name="_Toc23484"/>
      <w:bookmarkStart w:id="77" w:name="_Toc29309"/>
      <w:bookmarkStart w:id="78" w:name="_Toc1286"/>
      <w:bookmarkStart w:id="79" w:name="_Toc15384"/>
      <w:bookmarkStart w:id="80" w:name="_Toc14442"/>
      <w:bookmarkStart w:id="81" w:name="_Toc3997"/>
      <w:bookmarkStart w:id="82" w:name="_Toc25492"/>
      <w:bookmarkStart w:id="83" w:name="_Toc8107"/>
      <w:bookmarkStart w:id="84" w:name="_Toc4075"/>
      <w:bookmarkStart w:id="85" w:name="_Toc23003"/>
      <w:bookmarkStart w:id="86" w:name="_Toc1014"/>
      <w:bookmarkStart w:id="87" w:name="_Toc15958"/>
      <w:bookmarkStart w:id="88" w:name="_Toc12778"/>
      <w:bookmarkStart w:id="89" w:name="_Toc21793"/>
      <w:bookmarkStart w:id="90" w:name="_Toc22720"/>
      <w:bookmarkStart w:id="91" w:name="_Toc12002"/>
      <w:bookmarkStart w:id="92" w:name="_Toc16340"/>
      <w:bookmarkStart w:id="93" w:name="_Toc14144"/>
      <w:bookmarkStart w:id="94" w:name="_Toc16274"/>
      <w:r>
        <w:rPr>
          <w:rFonts w:hint="eastAsia" w:ascii="Calibri" w:hAnsi="Calibri" w:eastAsia="楷体_GB2312"/>
        </w:rPr>
        <w:t>（一）事故发生单位</w:t>
      </w:r>
      <w:r>
        <w:rPr>
          <w:rFonts w:hint="eastAsia" w:ascii="Calibri" w:hAnsi="Calibri" w:eastAsia="楷体_GB2312"/>
          <w:lang w:eastAsia="zh-CN"/>
        </w:rPr>
        <w:t>及相关</w:t>
      </w:r>
      <w:r>
        <w:rPr>
          <w:rFonts w:hint="eastAsia" w:ascii="Calibri" w:hAnsi="Calibri" w:eastAsia="楷体_GB2312"/>
        </w:rPr>
        <w:t>概况</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宋体" w:hAnsi="宋体" w:cs="仿宋_GB2312"/>
          <w:color w:val="auto"/>
          <w:kern w:val="0"/>
          <w:sz w:val="32"/>
          <w:szCs w:val="32"/>
          <w:lang w:val="en-US" w:eastAsia="zh-CN"/>
        </w:rPr>
      </w:pPr>
      <w:r>
        <w:rPr>
          <w:rFonts w:hint="eastAsia" w:ascii="宋体" w:hAnsi="宋体"/>
          <w:sz w:val="32"/>
          <w:szCs w:val="32"/>
          <w:lang w:val="en-US" w:eastAsia="zh-CN"/>
        </w:rPr>
        <w:t>1.</w:t>
      </w:r>
      <w:r>
        <w:rPr>
          <w:rFonts w:hint="eastAsia" w:ascii="宋体" w:hAnsi="宋体" w:cs="仿宋_GB2312"/>
          <w:color w:val="auto"/>
          <w:kern w:val="0"/>
          <w:sz w:val="32"/>
          <w:szCs w:val="32"/>
          <w:lang w:val="en-US" w:eastAsia="zh-CN"/>
        </w:rPr>
        <w:t>将乐县汉宇物流有限公司，系</w:t>
      </w:r>
      <w:r>
        <w:rPr>
          <w:rFonts w:hint="eastAsia" w:ascii="宋体" w:hAnsi="宋体" w:eastAsia="仿宋_GB2312"/>
          <w:sz w:val="32"/>
          <w:szCs w:val="32"/>
        </w:rPr>
        <w:t>闽</w:t>
      </w:r>
      <w:r>
        <w:rPr>
          <w:rFonts w:hint="default" w:ascii="Times New Roman" w:hAnsi="Times New Roman" w:eastAsia="仿宋_GB2312"/>
          <w:sz w:val="32"/>
          <w:szCs w:val="32"/>
        </w:rPr>
        <w:t>GB</w:t>
      </w:r>
      <w:r>
        <w:rPr>
          <w:rFonts w:hint="eastAsia" w:ascii="宋体" w:hAnsi="宋体" w:eastAsia="仿宋_GB2312"/>
          <w:sz w:val="32"/>
          <w:szCs w:val="32"/>
        </w:rPr>
        <w:t>8773</w:t>
      </w:r>
      <w:r>
        <w:rPr>
          <w:rFonts w:hint="eastAsia" w:ascii="宋体" w:hAnsi="宋体"/>
          <w:sz w:val="32"/>
          <w:szCs w:val="32"/>
          <w:lang w:val="en-US" w:eastAsia="zh-CN"/>
        </w:rPr>
        <w:t>（闽</w:t>
      </w:r>
      <w:r>
        <w:rPr>
          <w:rFonts w:hint="default" w:ascii="Times New Roman" w:hAnsi="Times New Roman"/>
          <w:sz w:val="32"/>
          <w:szCs w:val="32"/>
          <w:lang w:val="en-US" w:eastAsia="zh-CN"/>
        </w:rPr>
        <w:t>GG</w:t>
      </w:r>
      <w:r>
        <w:rPr>
          <w:rFonts w:hint="eastAsia" w:ascii="宋体" w:hAnsi="宋体"/>
          <w:sz w:val="32"/>
          <w:szCs w:val="32"/>
          <w:lang w:val="en-US" w:eastAsia="zh-CN"/>
        </w:rPr>
        <w:t>901挂）重型半挂牵引车行驶证登记所有人</w:t>
      </w:r>
      <w:r>
        <w:rPr>
          <w:rFonts w:hint="eastAsia" w:ascii="宋体" w:hAnsi="宋体" w:cs="仿宋_GB2312"/>
          <w:color w:val="auto"/>
          <w:kern w:val="0"/>
          <w:sz w:val="32"/>
          <w:szCs w:val="32"/>
          <w:lang w:val="en-US" w:eastAsia="zh-CN"/>
        </w:rPr>
        <w:t>，统一社会信用代码91350428</w:t>
      </w:r>
      <w:r>
        <w:rPr>
          <w:rFonts w:hint="default" w:ascii="Times New Roman" w:hAnsi="Times New Roman" w:cs="Times New Roman"/>
          <w:color w:val="auto"/>
          <w:kern w:val="2"/>
          <w:sz w:val="32"/>
          <w:szCs w:val="32"/>
          <w:lang w:val="en-US" w:eastAsia="zh-CN"/>
        </w:rPr>
        <w:t>MA</w:t>
      </w:r>
      <w:r>
        <w:rPr>
          <w:rFonts w:hint="eastAsia" w:ascii="宋体" w:hAnsi="宋体" w:cs="仿宋_GB2312"/>
          <w:color w:val="auto"/>
          <w:kern w:val="0"/>
          <w:sz w:val="32"/>
          <w:szCs w:val="32"/>
          <w:lang w:val="en-US" w:eastAsia="zh-CN"/>
        </w:rPr>
        <w:t>8</w:t>
      </w:r>
      <w:r>
        <w:rPr>
          <w:rFonts w:hint="default" w:ascii="Times New Roman" w:hAnsi="Times New Roman" w:cs="Times New Roman"/>
          <w:color w:val="auto"/>
          <w:kern w:val="2"/>
          <w:sz w:val="32"/>
          <w:szCs w:val="32"/>
          <w:lang w:val="en-US" w:eastAsia="zh-CN"/>
        </w:rPr>
        <w:t>RFXHT</w:t>
      </w:r>
      <w:r>
        <w:rPr>
          <w:rFonts w:hint="eastAsia" w:ascii="宋体" w:hAnsi="宋体" w:cs="仿宋_GB2312"/>
          <w:color w:val="auto"/>
          <w:kern w:val="0"/>
          <w:sz w:val="32"/>
          <w:szCs w:val="32"/>
          <w:lang w:val="en-US" w:eastAsia="zh-CN"/>
        </w:rPr>
        <w:t>33，成立于2021年2月22日，位于</w:t>
      </w:r>
      <w:r>
        <w:rPr>
          <w:rFonts w:hint="eastAsia" w:ascii="宋体" w:hAnsi="宋体" w:eastAsia="仿宋_GB2312"/>
          <w:sz w:val="32"/>
          <w:szCs w:val="32"/>
          <w:lang w:eastAsia="zh-CN"/>
        </w:rPr>
        <w:t>福建省三明市将乐县水南镇三华南路91号3楼309-1</w:t>
      </w:r>
      <w:r>
        <w:rPr>
          <w:rFonts w:hint="eastAsia" w:ascii="宋体" w:hAnsi="宋体" w:eastAsia="仿宋_GB2312"/>
          <w:sz w:val="32"/>
          <w:szCs w:val="32"/>
          <w:lang w:val="en-US" w:eastAsia="zh-CN"/>
        </w:rPr>
        <w:t>,</w:t>
      </w:r>
      <w:r>
        <w:rPr>
          <w:rFonts w:hint="eastAsia" w:ascii="宋体" w:hAnsi="宋体"/>
          <w:sz w:val="32"/>
          <w:szCs w:val="32"/>
          <w:lang w:val="en-US" w:eastAsia="zh-CN"/>
        </w:rPr>
        <w:t>法定代表人林*宇，注册资本500万元，</w:t>
      </w:r>
      <w:r>
        <w:rPr>
          <w:rFonts w:hint="eastAsia" w:ascii="宋体" w:hAnsi="宋体" w:cs="仿宋_GB2312"/>
          <w:szCs w:val="32"/>
        </w:rPr>
        <w:t>企业类型为有限责任公司，经营范围为</w:t>
      </w:r>
      <w:r>
        <w:rPr>
          <w:rFonts w:hint="eastAsia" w:ascii="宋体" w:hAnsi="宋体" w:cs="仿宋_GB2312"/>
          <w:szCs w:val="32"/>
          <w:lang w:val="en-US" w:eastAsia="zh-CN"/>
        </w:rPr>
        <w:t>许可项目：道路货物运输（不含危险货物）；汽车租赁（依法须经批准的项目，经相关部门批准后方可开展经营活动，具体经营项目以相关部门批准文件或许可证件为准），一般项目：国内货物运输代理；供应链管理服务（除依法须经批准的项目外）。</w:t>
      </w:r>
      <w:r>
        <w:rPr>
          <w:rFonts w:hint="eastAsia" w:ascii="宋体" w:hAnsi="宋体" w:eastAsia="仿宋_GB2312" w:cs="仿宋_GB2312"/>
          <w:color w:val="auto"/>
          <w:kern w:val="0"/>
          <w:sz w:val="32"/>
          <w:szCs w:val="32"/>
        </w:rPr>
        <w:t>道路运输经营许可证号：</w:t>
      </w:r>
      <w:r>
        <w:rPr>
          <w:rFonts w:hint="eastAsia" w:ascii="宋体" w:hAnsi="宋体" w:cs="仿宋_GB2312"/>
          <w:color w:val="auto"/>
          <w:kern w:val="0"/>
          <w:sz w:val="32"/>
          <w:szCs w:val="32"/>
          <w:lang w:val="en-US" w:eastAsia="zh-CN"/>
        </w:rPr>
        <w:t>闽交运管许可明字350428200234号，有效期至2025年10月8日。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宋体" w:hAnsi="宋体" w:eastAsia="仿宋_GB2312" w:cs="仿宋_GB2312"/>
          <w:color w:val="auto"/>
          <w:kern w:val="0"/>
          <w:sz w:val="32"/>
          <w:szCs w:val="32"/>
          <w:lang w:val="en-US" w:eastAsia="zh-CN"/>
        </w:rPr>
      </w:pPr>
      <w:r>
        <w:rPr>
          <w:rFonts w:hint="eastAsia" w:ascii="宋体" w:hAnsi="宋体" w:cs="仿宋_GB2312"/>
          <w:color w:val="auto"/>
          <w:kern w:val="0"/>
          <w:sz w:val="32"/>
          <w:szCs w:val="32"/>
          <w:lang w:val="en-US" w:eastAsia="zh-CN" w:bidi="ar-SA"/>
        </w:rPr>
        <w:t>2</w:t>
      </w:r>
      <w:r>
        <w:rPr>
          <w:rFonts w:hint="eastAsia" w:ascii="宋体" w:hAnsi="宋体" w:eastAsia="仿宋_GB2312" w:cs="仿宋_GB2312"/>
          <w:color w:val="auto"/>
          <w:kern w:val="0"/>
          <w:sz w:val="32"/>
          <w:szCs w:val="32"/>
          <w:lang w:val="en-US" w:eastAsia="zh-CN" w:bidi="ar-SA"/>
        </w:rPr>
        <w:t>.</w:t>
      </w:r>
      <w:r>
        <w:rPr>
          <w:rFonts w:hint="default" w:ascii="宋体" w:hAnsi="宋体"/>
          <w:sz w:val="32"/>
          <w:szCs w:val="32"/>
          <w:lang w:val="en-US" w:eastAsia="zh-CN"/>
        </w:rPr>
        <w:t>杨</w:t>
      </w:r>
      <w:r>
        <w:rPr>
          <w:rFonts w:hint="eastAsia" w:ascii="宋体" w:hAnsi="宋体"/>
          <w:sz w:val="32"/>
          <w:szCs w:val="32"/>
          <w:lang w:val="en-US" w:eastAsia="zh-CN"/>
        </w:rPr>
        <w:t>*</w:t>
      </w:r>
      <w:r>
        <w:rPr>
          <w:rFonts w:hint="default" w:ascii="宋体" w:hAnsi="宋体"/>
          <w:sz w:val="32"/>
          <w:szCs w:val="32"/>
          <w:lang w:val="en-US" w:eastAsia="zh-CN"/>
        </w:rPr>
        <w:t>升，男，52岁，</w:t>
      </w:r>
      <w:r>
        <w:rPr>
          <w:rFonts w:hint="eastAsia" w:ascii="宋体" w:hAnsi="宋体"/>
          <w:sz w:val="32"/>
          <w:szCs w:val="32"/>
          <w:lang w:val="en-US" w:eastAsia="zh-CN"/>
        </w:rPr>
        <w:t>户籍地：</w:t>
      </w:r>
      <w:r>
        <w:rPr>
          <w:rFonts w:hint="default" w:ascii="宋体" w:hAnsi="宋体"/>
          <w:sz w:val="32"/>
          <w:szCs w:val="32"/>
          <w:lang w:val="en-US" w:eastAsia="zh-CN"/>
        </w:rPr>
        <w:t>贵州省天柱县白市镇</w:t>
      </w:r>
      <w:r>
        <w:rPr>
          <w:rFonts w:hint="eastAsia" w:ascii="宋体" w:hAnsi="宋体"/>
          <w:sz w:val="32"/>
          <w:szCs w:val="32"/>
          <w:lang w:val="en-US" w:eastAsia="zh-CN"/>
        </w:rPr>
        <w:t>************</w:t>
      </w:r>
      <w:r>
        <w:rPr>
          <w:rFonts w:hint="default" w:ascii="宋体" w:hAnsi="宋体"/>
          <w:sz w:val="32"/>
          <w:szCs w:val="32"/>
          <w:lang w:val="en-US" w:eastAsia="zh-CN"/>
        </w:rPr>
        <w:t>，身份证号码</w:t>
      </w:r>
      <w:r>
        <w:rPr>
          <w:rFonts w:hint="eastAsia" w:ascii="宋体" w:hAnsi="宋体"/>
          <w:sz w:val="32"/>
          <w:szCs w:val="32"/>
          <w:lang w:val="en-US" w:eastAsia="zh-CN"/>
        </w:rPr>
        <w:t>5226**********</w:t>
      </w:r>
      <w:r>
        <w:rPr>
          <w:rFonts w:hint="default" w:ascii="宋体" w:hAnsi="宋体"/>
          <w:sz w:val="32"/>
          <w:szCs w:val="32"/>
          <w:lang w:val="en-US" w:eastAsia="zh-CN"/>
        </w:rPr>
        <w:t>5213 。于2025年4月8日</w:t>
      </w:r>
      <w:r>
        <w:rPr>
          <w:rFonts w:hint="eastAsia" w:ascii="宋体" w:hAnsi="宋体"/>
          <w:sz w:val="32"/>
          <w:szCs w:val="32"/>
          <w:lang w:val="en-US" w:eastAsia="zh-CN"/>
        </w:rPr>
        <w:t>到</w:t>
      </w:r>
      <w:r>
        <w:rPr>
          <w:rFonts w:hint="eastAsia" w:ascii="宋体" w:hAnsi="宋体" w:cs="仿宋_GB2312"/>
          <w:color w:val="auto"/>
          <w:kern w:val="0"/>
          <w:sz w:val="32"/>
          <w:szCs w:val="32"/>
          <w:lang w:val="en-US" w:eastAsia="zh-CN"/>
        </w:rPr>
        <w:t>将乐县汉宇物流有限公司</w:t>
      </w:r>
      <w:r>
        <w:rPr>
          <w:rFonts w:hint="default" w:ascii="宋体" w:hAnsi="宋体"/>
          <w:sz w:val="32"/>
          <w:szCs w:val="32"/>
          <w:lang w:val="en-US" w:eastAsia="zh-CN"/>
        </w:rPr>
        <w:t>应聘驾驶员职位，于2025年4月9日开始接受岗前培训，11日结束培训，三级培训教育学时达24 学时。</w:t>
      </w:r>
      <w:r>
        <w:rPr>
          <w:rFonts w:hint="eastAsia" w:ascii="宋体" w:hAnsi="宋体"/>
          <w:sz w:val="32"/>
          <w:szCs w:val="32"/>
          <w:lang w:val="en-US" w:eastAsia="zh-CN"/>
        </w:rPr>
        <w:t>培训内容包括：安全生产操作规程、安全生产自律检查消除事故隐患、交通事故应急预案、驾驶员安全管理及职业道德、车辆管理制度、车辆检查、车辆保养和审验、交通运输企业重大隐患判定标准等内容。4月11日经培训考核合格后交接车辆，于4月12日开始正式上岗，主要工作内容为驾驶闽GB8773运输长乐至泉州地区、泉港至泉州地区散装水泥等运输任务。</w:t>
      </w:r>
    </w:p>
    <w:p>
      <w:pPr>
        <w:pStyle w:val="4"/>
        <w:keepNext w:val="0"/>
        <w:keepLines w:val="0"/>
        <w:widowControl w:val="0"/>
        <w:ind w:firstLineChars="200"/>
        <w:rPr>
          <w:rFonts w:hint="eastAsia" w:ascii="Calibri" w:hAnsi="Calibri" w:eastAsia="楷体_GB2312"/>
        </w:rPr>
      </w:pPr>
      <w:bookmarkStart w:id="95" w:name="_Toc14106"/>
      <w:bookmarkStart w:id="96" w:name="_Toc26836"/>
      <w:bookmarkStart w:id="97" w:name="_Toc30649"/>
      <w:bookmarkStart w:id="98" w:name="_Toc28496"/>
      <w:bookmarkStart w:id="99" w:name="_Toc17607"/>
      <w:bookmarkStart w:id="100" w:name="_Toc31684"/>
      <w:bookmarkStart w:id="101" w:name="_Toc27513"/>
      <w:bookmarkStart w:id="102" w:name="_Toc9792"/>
      <w:bookmarkStart w:id="103" w:name="_Toc19715"/>
      <w:bookmarkStart w:id="104" w:name="_Toc19739"/>
      <w:bookmarkStart w:id="105" w:name="_Toc20970"/>
      <w:bookmarkStart w:id="106" w:name="_Toc5090"/>
      <w:bookmarkStart w:id="107" w:name="_Toc11049"/>
      <w:bookmarkStart w:id="108" w:name="_Toc13605"/>
      <w:bookmarkStart w:id="109" w:name="_Toc12336"/>
      <w:bookmarkStart w:id="110" w:name="_Toc16569"/>
      <w:r>
        <w:rPr>
          <w:rFonts w:hint="eastAsia" w:ascii="Calibri" w:hAnsi="Calibri" w:eastAsia="楷体_GB2312"/>
        </w:rPr>
        <w:t>（二）事故相关单位概况</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宋体" w:hAnsi="宋体" w:eastAsia="仿宋_GB2312" w:cs="仿宋_GB2312"/>
          <w:color w:val="auto"/>
          <w:kern w:val="0"/>
          <w:sz w:val="32"/>
          <w:szCs w:val="32"/>
          <w:lang w:eastAsia="zh-CN"/>
        </w:rPr>
      </w:pPr>
      <w:r>
        <w:rPr>
          <w:rFonts w:hint="eastAsia" w:ascii="宋体" w:hAnsi="宋体" w:cs="仿宋_GB2312"/>
          <w:szCs w:val="32"/>
          <w:lang w:val="en-US" w:eastAsia="zh-CN"/>
        </w:rPr>
        <w:t>1.</w:t>
      </w:r>
      <w:r>
        <w:rPr>
          <w:rFonts w:hint="default" w:ascii="宋体" w:hAnsi="宋体" w:cs="仿宋_GB2312"/>
          <w:color w:val="auto"/>
          <w:kern w:val="0"/>
          <w:sz w:val="32"/>
          <w:szCs w:val="32"/>
          <w:lang w:val="en-US" w:eastAsia="zh-CN"/>
        </w:rPr>
        <w:t>福建凤起供应链管理有限公司</w:t>
      </w:r>
      <w:r>
        <w:rPr>
          <w:rFonts w:hint="eastAsia" w:ascii="宋体" w:hAnsi="宋体" w:cs="仿宋_GB2312"/>
          <w:color w:val="auto"/>
          <w:kern w:val="0"/>
          <w:sz w:val="32"/>
          <w:szCs w:val="32"/>
          <w:lang w:val="en-US" w:eastAsia="zh-CN"/>
        </w:rPr>
        <w:t>，</w:t>
      </w:r>
      <w:r>
        <w:rPr>
          <w:rFonts w:hint="eastAsia" w:ascii="宋体" w:hAnsi="宋体" w:cs="仿宋_GB2312"/>
          <w:szCs w:val="32"/>
        </w:rPr>
        <w:t>统一社会信用代码：</w:t>
      </w:r>
      <w:r>
        <w:rPr>
          <w:rFonts w:hint="eastAsia" w:ascii="宋体" w:hAnsi="宋体" w:cs="仿宋_GB2312"/>
          <w:color w:val="auto"/>
          <w:kern w:val="0"/>
          <w:sz w:val="32"/>
          <w:szCs w:val="32"/>
          <w:lang w:val="en-US" w:eastAsia="zh-CN"/>
        </w:rPr>
        <w:t>91350505</w:t>
      </w:r>
      <w:r>
        <w:rPr>
          <w:rFonts w:hint="default" w:ascii="Times New Roman" w:hAnsi="Times New Roman" w:cs="Times New Roman"/>
          <w:color w:val="auto"/>
          <w:kern w:val="2"/>
          <w:sz w:val="32"/>
          <w:szCs w:val="32"/>
          <w:lang w:val="en-US" w:eastAsia="zh-CN"/>
        </w:rPr>
        <w:t>MAE</w:t>
      </w:r>
      <w:r>
        <w:rPr>
          <w:rFonts w:hint="eastAsia" w:ascii="宋体" w:hAnsi="宋体" w:cs="仿宋_GB2312"/>
          <w:color w:val="auto"/>
          <w:kern w:val="0"/>
          <w:sz w:val="32"/>
          <w:szCs w:val="32"/>
          <w:lang w:val="en-US" w:eastAsia="zh-CN"/>
        </w:rPr>
        <w:t>79</w:t>
      </w:r>
      <w:r>
        <w:rPr>
          <w:rFonts w:hint="default" w:ascii="Times New Roman" w:hAnsi="Times New Roman" w:cs="Times New Roman"/>
          <w:color w:val="auto"/>
          <w:kern w:val="2"/>
          <w:sz w:val="32"/>
          <w:szCs w:val="32"/>
          <w:lang w:val="en-US" w:eastAsia="zh-CN"/>
        </w:rPr>
        <w:t>UN</w:t>
      </w:r>
      <w:r>
        <w:rPr>
          <w:rFonts w:hint="eastAsia" w:ascii="宋体" w:hAnsi="宋体" w:cs="仿宋_GB2312"/>
          <w:color w:val="auto"/>
          <w:kern w:val="0"/>
          <w:sz w:val="32"/>
          <w:szCs w:val="32"/>
          <w:lang w:val="en-US" w:eastAsia="zh-CN"/>
        </w:rPr>
        <w:t>228，成立于2024年12月5日，位于</w:t>
      </w:r>
      <w:r>
        <w:rPr>
          <w:rFonts w:hint="default" w:ascii="宋体" w:hAnsi="宋体" w:cs="仿宋_GB2312"/>
          <w:szCs w:val="32"/>
          <w:lang w:eastAsia="zh-CN"/>
        </w:rPr>
        <w:t>福建省泉州市泉港区南埔镇沙格村沙格591号，法定代表人为吴</w:t>
      </w:r>
      <w:r>
        <w:rPr>
          <w:rFonts w:hint="eastAsia" w:ascii="宋体" w:hAnsi="宋体" w:cs="仿宋_GB2312"/>
          <w:szCs w:val="32"/>
          <w:lang w:val="en-US" w:eastAsia="zh-CN"/>
        </w:rPr>
        <w:t>*</w:t>
      </w:r>
      <w:r>
        <w:rPr>
          <w:rFonts w:hint="default" w:ascii="宋体" w:hAnsi="宋体" w:cs="仿宋_GB2312"/>
          <w:szCs w:val="32"/>
          <w:lang w:eastAsia="zh-CN"/>
        </w:rPr>
        <w:t>友。经营范围包括一般项目：供应链管理服务；国内货物运输代理；商务代理代办服务；国内集装箱货物运输代理；集贸市场管理服务；港口货物装卸搬运活动；装卸搬运和运输代理业（不包括航空客货运代理服务）；普通货物仓储服务（不含危险化学品等需许可审批的项目）；装卸搬运</w:t>
      </w:r>
      <w:r>
        <w:rPr>
          <w:rFonts w:hint="eastAsia" w:ascii="宋体" w:hAnsi="宋体" w:cs="仿宋_GB2312"/>
          <w:szCs w:val="32"/>
          <w:lang w:val="en-US" w:eastAsia="zh-CN"/>
        </w:rPr>
        <w:t>等</w:t>
      </w:r>
      <w:r>
        <w:rPr>
          <w:rFonts w:hint="default" w:ascii="宋体" w:hAnsi="宋体" w:cs="仿宋_GB231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宋体" w:hAnsi="宋体" w:eastAsia="仿宋_GB2312" w:cs="仿宋_GB2312"/>
          <w:color w:val="auto"/>
          <w:kern w:val="0"/>
          <w:sz w:val="32"/>
          <w:szCs w:val="32"/>
          <w:lang w:eastAsia="zh-CN"/>
        </w:rPr>
      </w:pPr>
      <w:r>
        <w:rPr>
          <w:rFonts w:hint="eastAsia" w:ascii="宋体" w:hAnsi="宋体" w:cs="仿宋_GB2312"/>
          <w:color w:val="auto"/>
          <w:kern w:val="0"/>
          <w:sz w:val="32"/>
          <w:szCs w:val="32"/>
          <w:lang w:val="en-US" w:eastAsia="zh-CN"/>
        </w:rPr>
        <w:t>2.</w:t>
      </w:r>
      <w:r>
        <w:rPr>
          <w:rFonts w:hint="eastAsia" w:ascii="宋体" w:hAnsi="宋体" w:cs="仿宋_GB2312"/>
          <w:szCs w:val="32"/>
          <w:lang w:val="en-US" w:eastAsia="zh-CN"/>
        </w:rPr>
        <w:t>福建</w:t>
      </w:r>
      <w:r>
        <w:rPr>
          <w:rFonts w:hint="eastAsia" w:ascii="宋体" w:hAnsi="宋体" w:cs="仿宋_GB2312"/>
          <w:color w:val="auto"/>
          <w:kern w:val="0"/>
          <w:sz w:val="32"/>
          <w:szCs w:val="32"/>
          <w:lang w:val="en-US" w:eastAsia="zh-CN"/>
        </w:rPr>
        <w:t>肖厝港物流有限责任公司</w:t>
      </w:r>
      <w:r>
        <w:rPr>
          <w:rFonts w:hint="eastAsia" w:ascii="宋体" w:hAnsi="宋体" w:cs="仿宋_GB2312"/>
          <w:szCs w:val="32"/>
        </w:rPr>
        <w:t>，统一社会信用代码：</w:t>
      </w:r>
      <w:r>
        <w:rPr>
          <w:rFonts w:hint="eastAsia" w:ascii="宋体" w:hAnsi="宋体" w:cs="仿宋_GB2312"/>
          <w:szCs w:val="32"/>
          <w:lang w:val="en-US" w:eastAsia="zh-CN"/>
        </w:rPr>
        <w:t>91350505156117053</w:t>
      </w:r>
      <w:r>
        <w:rPr>
          <w:rFonts w:hint="default" w:ascii="Times New Roman" w:hAnsi="Times New Roman" w:cs="Times New Roman"/>
          <w:szCs w:val="32"/>
          <w:lang w:val="en-US" w:eastAsia="zh-CN"/>
        </w:rPr>
        <w:t>L</w:t>
      </w:r>
      <w:r>
        <w:rPr>
          <w:rFonts w:hint="eastAsia" w:ascii="宋体" w:hAnsi="宋体" w:cs="仿宋_GB2312"/>
          <w:szCs w:val="32"/>
          <w:lang w:val="en-US" w:eastAsia="zh-CN"/>
        </w:rPr>
        <w:t>，成立于1997年6月12日，</w:t>
      </w:r>
      <w:r>
        <w:rPr>
          <w:rFonts w:hint="eastAsia" w:ascii="宋体" w:hAnsi="宋体" w:cs="仿宋_GB2312"/>
          <w:szCs w:val="32"/>
        </w:rPr>
        <w:t>位于</w:t>
      </w:r>
      <w:r>
        <w:rPr>
          <w:rFonts w:hint="eastAsia" w:ascii="宋体" w:hAnsi="宋体" w:cs="仿宋_GB2312"/>
          <w:szCs w:val="32"/>
          <w:lang w:val="en-US" w:eastAsia="zh-CN"/>
        </w:rPr>
        <w:t>泉州市泉港区南埔镇沙格村通港路1-1号，法定代表人陈*琼。</w:t>
      </w:r>
      <w:r>
        <w:rPr>
          <w:rFonts w:hint="eastAsia" w:ascii="宋体" w:hAnsi="宋体" w:cs="仿宋_GB2312"/>
          <w:color w:val="auto"/>
          <w:kern w:val="0"/>
          <w:sz w:val="32"/>
          <w:szCs w:val="32"/>
          <w:lang w:val="en-US" w:eastAsia="zh-CN"/>
        </w:rPr>
        <w:t>福建肖厝港物流有限责任公司</w:t>
      </w:r>
      <w:r>
        <w:rPr>
          <w:rFonts w:hint="eastAsia" w:ascii="宋体" w:hAnsi="宋体" w:eastAsia="仿宋_GB2312" w:cs="Times New Roman"/>
          <w:sz w:val="32"/>
          <w:szCs w:val="32"/>
          <w:lang w:val="en-US" w:eastAsia="zh-CN"/>
        </w:rPr>
        <w:t>于2022年8月19日取得福建省交通运输厅颁发的</w:t>
      </w:r>
      <w:r>
        <w:rPr>
          <w:rFonts w:hint="eastAsia" w:ascii="宋体" w:hAnsi="宋体" w:cs="Times New Roman"/>
          <w:sz w:val="32"/>
          <w:szCs w:val="32"/>
          <w:lang w:val="en-US" w:eastAsia="zh-CN"/>
        </w:rPr>
        <w:t>《</w:t>
      </w:r>
      <w:r>
        <w:rPr>
          <w:rFonts w:hint="eastAsia" w:ascii="宋体" w:hAnsi="宋体" w:eastAsia="仿宋_GB2312" w:cs="Times New Roman"/>
          <w:sz w:val="32"/>
          <w:szCs w:val="32"/>
          <w:lang w:val="en-US" w:eastAsia="zh-CN"/>
        </w:rPr>
        <w:t>港口经营许可</w:t>
      </w:r>
      <w:r>
        <w:rPr>
          <w:rFonts w:hint="eastAsia" w:ascii="宋体" w:hAnsi="宋体" w:cs="Times New Roman"/>
          <w:sz w:val="32"/>
          <w:szCs w:val="32"/>
          <w:lang w:val="en-US" w:eastAsia="zh-CN"/>
        </w:rPr>
        <w:t>》【</w:t>
      </w:r>
      <w:r>
        <w:rPr>
          <w:rFonts w:hint="eastAsia" w:ascii="宋体" w:hAnsi="宋体" w:eastAsia="仿宋_GB2312" w:cs="Times New Roman"/>
          <w:sz w:val="32"/>
          <w:szCs w:val="32"/>
          <w:lang w:val="en-US" w:eastAsia="zh-CN"/>
        </w:rPr>
        <w:t>编号：（闽湄）港经证（2210）号</w:t>
      </w:r>
      <w:r>
        <w:rPr>
          <w:rFonts w:hint="eastAsia" w:ascii="宋体" w:hAnsi="宋体" w:cs="Times New Roman"/>
          <w:sz w:val="32"/>
          <w:szCs w:val="32"/>
          <w:lang w:val="en-US" w:eastAsia="zh-CN"/>
        </w:rPr>
        <w:t>】</w:t>
      </w:r>
      <w:r>
        <w:rPr>
          <w:rFonts w:hint="eastAsia" w:ascii="宋体" w:hAnsi="宋体" w:eastAsia="仿宋_GB2312" w:cs="Times New Roman"/>
          <w:sz w:val="32"/>
          <w:szCs w:val="32"/>
          <w:lang w:val="en-US" w:eastAsia="zh-CN"/>
        </w:rPr>
        <w:t>和港口危险货物作业附证</w:t>
      </w:r>
      <w:r>
        <w:rPr>
          <w:rFonts w:hint="eastAsia" w:ascii="宋体" w:hAnsi="宋体" w:cs="Times New Roman"/>
          <w:sz w:val="32"/>
          <w:szCs w:val="32"/>
          <w:lang w:val="en-US" w:eastAsia="zh-CN"/>
        </w:rPr>
        <w:t>【</w:t>
      </w:r>
      <w:r>
        <w:rPr>
          <w:rFonts w:hint="eastAsia" w:ascii="宋体" w:hAnsi="宋体" w:eastAsia="仿宋_GB2312" w:cs="Times New Roman"/>
          <w:sz w:val="32"/>
          <w:szCs w:val="32"/>
          <w:lang w:val="en-US" w:eastAsia="zh-CN"/>
        </w:rPr>
        <w:t>编号：（闽湄）港经证（2210）号-</w:t>
      </w:r>
      <w:r>
        <w:rPr>
          <w:rFonts w:hint="default" w:ascii="Times New Roman" w:hAnsi="Times New Roman" w:eastAsia="仿宋_GB2312" w:cs="Times New Roman"/>
          <w:sz w:val="32"/>
          <w:szCs w:val="32"/>
          <w:lang w:val="en-US" w:eastAsia="zh-CN"/>
        </w:rPr>
        <w:t>M</w:t>
      </w:r>
      <w:r>
        <w:rPr>
          <w:rFonts w:hint="eastAsia" w:ascii="宋体" w:hAnsi="宋体" w:eastAsia="仿宋_GB2312" w:cs="Times New Roman"/>
          <w:sz w:val="32"/>
          <w:szCs w:val="32"/>
          <w:lang w:val="en-US" w:eastAsia="zh-CN"/>
        </w:rPr>
        <w:t>001</w:t>
      </w:r>
      <w:r>
        <w:rPr>
          <w:rFonts w:hint="eastAsia" w:ascii="宋体" w:hAnsi="宋体" w:cs="Times New Roman"/>
          <w:sz w:val="32"/>
          <w:szCs w:val="32"/>
          <w:lang w:val="en-US" w:eastAsia="zh-CN"/>
        </w:rPr>
        <w:t>】</w:t>
      </w:r>
      <w:r>
        <w:rPr>
          <w:rFonts w:hint="eastAsia" w:ascii="宋体" w:hAnsi="宋体" w:eastAsia="仿宋_GB2312" w:cs="Times New Roman"/>
          <w:sz w:val="32"/>
          <w:szCs w:val="32"/>
          <w:lang w:val="en-US" w:eastAsia="zh-CN"/>
        </w:rPr>
        <w:t>，有效期至2025年7月28日。2025年6月19日延续取得福建省交通运输厅颁发的</w:t>
      </w:r>
      <w:r>
        <w:rPr>
          <w:rFonts w:hint="eastAsia" w:ascii="宋体" w:hAnsi="宋体" w:cs="Times New Roman"/>
          <w:sz w:val="32"/>
          <w:szCs w:val="32"/>
          <w:lang w:val="en-US" w:eastAsia="zh-CN"/>
        </w:rPr>
        <w:t>《</w:t>
      </w:r>
      <w:r>
        <w:rPr>
          <w:rFonts w:hint="eastAsia" w:ascii="宋体" w:hAnsi="宋体" w:eastAsia="仿宋_GB2312" w:cs="Times New Roman"/>
          <w:sz w:val="32"/>
          <w:szCs w:val="32"/>
          <w:lang w:val="en-US" w:eastAsia="zh-CN"/>
        </w:rPr>
        <w:t>港口经营许可</w:t>
      </w:r>
      <w:r>
        <w:rPr>
          <w:rFonts w:hint="eastAsia" w:ascii="宋体" w:hAnsi="宋体" w:cs="Times New Roman"/>
          <w:sz w:val="32"/>
          <w:szCs w:val="32"/>
          <w:lang w:val="en-US" w:eastAsia="zh-CN"/>
        </w:rPr>
        <w:t>》【</w:t>
      </w:r>
      <w:r>
        <w:rPr>
          <w:rFonts w:hint="eastAsia" w:ascii="宋体" w:hAnsi="宋体" w:eastAsia="仿宋_GB2312" w:cs="Times New Roman"/>
          <w:sz w:val="32"/>
          <w:szCs w:val="32"/>
          <w:lang w:val="en-US" w:eastAsia="zh-CN"/>
        </w:rPr>
        <w:t>编号：（闽湄）港经证（2509）号</w:t>
      </w:r>
      <w:r>
        <w:rPr>
          <w:rFonts w:hint="eastAsia" w:ascii="宋体" w:hAnsi="宋体" w:cs="Times New Roman"/>
          <w:sz w:val="32"/>
          <w:szCs w:val="32"/>
          <w:lang w:val="en-US" w:eastAsia="zh-CN"/>
        </w:rPr>
        <w:t>】</w:t>
      </w:r>
      <w:r>
        <w:rPr>
          <w:rFonts w:hint="eastAsia" w:ascii="宋体" w:hAnsi="宋体" w:eastAsia="仿宋_GB2312" w:cs="Times New Roman"/>
          <w:sz w:val="32"/>
          <w:szCs w:val="32"/>
          <w:lang w:val="en-US" w:eastAsia="zh-CN"/>
        </w:rPr>
        <w:t>和</w:t>
      </w:r>
      <w:r>
        <w:rPr>
          <w:rFonts w:hint="eastAsia" w:ascii="宋体" w:hAnsi="宋体" w:cs="Times New Roman"/>
          <w:sz w:val="32"/>
          <w:szCs w:val="32"/>
          <w:lang w:val="en-US" w:eastAsia="zh-CN"/>
        </w:rPr>
        <w:t>《</w:t>
      </w:r>
      <w:r>
        <w:rPr>
          <w:rFonts w:hint="eastAsia" w:ascii="宋体" w:hAnsi="宋体" w:eastAsia="仿宋_GB2312" w:cs="Times New Roman"/>
          <w:sz w:val="32"/>
          <w:szCs w:val="32"/>
          <w:lang w:val="en-US" w:eastAsia="zh-CN"/>
        </w:rPr>
        <w:t>港口危险货物作业附证</w:t>
      </w:r>
      <w:r>
        <w:rPr>
          <w:rFonts w:hint="eastAsia" w:ascii="宋体" w:hAnsi="宋体" w:cs="Times New Roman"/>
          <w:sz w:val="32"/>
          <w:szCs w:val="32"/>
          <w:lang w:val="en-US" w:eastAsia="zh-CN"/>
        </w:rPr>
        <w:t>》【</w:t>
      </w:r>
      <w:r>
        <w:rPr>
          <w:rFonts w:hint="eastAsia" w:ascii="宋体" w:hAnsi="宋体" w:eastAsia="仿宋_GB2312" w:cs="Times New Roman"/>
          <w:sz w:val="32"/>
          <w:szCs w:val="32"/>
          <w:lang w:val="en-US" w:eastAsia="zh-CN"/>
        </w:rPr>
        <w:t>编号：（闽湄）港经证（2509）号-</w:t>
      </w:r>
      <w:r>
        <w:rPr>
          <w:rFonts w:hint="default" w:ascii="Times New Roman" w:hAnsi="Times New Roman" w:eastAsia="仿宋_GB2312" w:cs="Times New Roman"/>
          <w:sz w:val="32"/>
          <w:szCs w:val="32"/>
          <w:lang w:val="en-US" w:eastAsia="zh-CN"/>
        </w:rPr>
        <w:t>M</w:t>
      </w:r>
      <w:r>
        <w:rPr>
          <w:rFonts w:hint="eastAsia" w:ascii="宋体" w:hAnsi="宋体" w:eastAsia="仿宋_GB2312" w:cs="Times New Roman"/>
          <w:sz w:val="32"/>
          <w:szCs w:val="32"/>
          <w:lang w:val="en-US" w:eastAsia="zh-CN"/>
        </w:rPr>
        <w:t>001</w:t>
      </w:r>
      <w:r>
        <w:rPr>
          <w:rFonts w:hint="eastAsia" w:ascii="宋体" w:hAnsi="宋体" w:cs="Times New Roman"/>
          <w:sz w:val="32"/>
          <w:szCs w:val="32"/>
          <w:lang w:val="en-US" w:eastAsia="zh-CN"/>
        </w:rPr>
        <w:t>】</w:t>
      </w:r>
      <w:r>
        <w:rPr>
          <w:rFonts w:hint="eastAsia" w:ascii="宋体" w:hAnsi="宋体" w:eastAsia="仿宋_GB2312" w:cs="Times New Roman"/>
          <w:sz w:val="32"/>
          <w:szCs w:val="32"/>
          <w:lang w:val="en-US" w:eastAsia="zh-CN"/>
        </w:rPr>
        <w:t>，有效期至2028年6月18日</w:t>
      </w:r>
      <w:r>
        <w:rPr>
          <w:rFonts w:hint="eastAsia" w:ascii="宋体" w:hAnsi="宋体" w:cs="仿宋_GB2312"/>
          <w:szCs w:val="32"/>
          <w:lang w:val="en-US" w:eastAsia="zh-CN"/>
        </w:rPr>
        <w:t>。经营范围为码头设施服务、散杂货、危险货物装卸、仓储、船舶岸电淡水供应；</w:t>
      </w:r>
      <w:r>
        <w:rPr>
          <w:rFonts w:hint="default" w:ascii="宋体" w:hAnsi="宋体" w:cs="仿宋_GB2312"/>
          <w:szCs w:val="32"/>
          <w:lang w:eastAsia="zh-CN"/>
        </w:rPr>
        <w:t>普通货物运输代理；建筑材料、化工产品（不含危险化学品、监控产品及易制毒产品）销售。</w:t>
      </w:r>
    </w:p>
    <w:p>
      <w:pPr>
        <w:pStyle w:val="4"/>
        <w:keepLines w:val="0"/>
        <w:ind w:firstLineChars="200"/>
        <w:rPr>
          <w:rFonts w:hint="eastAsia" w:ascii="Calibri" w:hAnsi="Calibri" w:eastAsia="楷体_GB2312"/>
          <w:lang w:val="en-US" w:eastAsia="zh-CN"/>
        </w:rPr>
      </w:pPr>
      <w:bookmarkStart w:id="111" w:name="_Toc30874"/>
      <w:bookmarkStart w:id="112" w:name="_Toc27080"/>
      <w:bookmarkStart w:id="113" w:name="_Toc5386"/>
      <w:bookmarkStart w:id="114" w:name="_Toc6837"/>
      <w:bookmarkStart w:id="115" w:name="_Toc31980"/>
      <w:bookmarkStart w:id="116" w:name="_Toc347"/>
      <w:bookmarkStart w:id="117" w:name="_Toc28500"/>
      <w:bookmarkStart w:id="118" w:name="_Toc25322"/>
      <w:bookmarkStart w:id="119" w:name="_Toc18607"/>
      <w:bookmarkStart w:id="120" w:name="_Toc9907"/>
      <w:bookmarkStart w:id="121" w:name="_Toc8135"/>
      <w:bookmarkStart w:id="122" w:name="_Toc9920"/>
      <w:bookmarkStart w:id="123" w:name="_Toc6368"/>
      <w:bookmarkStart w:id="124" w:name="_Toc7425"/>
      <w:bookmarkStart w:id="125" w:name="_Toc1716"/>
      <w:bookmarkStart w:id="126" w:name="_Toc319"/>
      <w:r>
        <w:rPr>
          <w:rFonts w:hint="eastAsia" w:ascii="Calibri" w:hAnsi="Calibri" w:eastAsia="楷体_GB2312" w:cs="Times New Roman"/>
          <w:b/>
          <w:kern w:val="2"/>
          <w:sz w:val="32"/>
          <w:szCs w:val="22"/>
          <w:lang w:val="en-US" w:eastAsia="zh-CN" w:bidi="ar-SA"/>
        </w:rPr>
        <w:t>（三）</w:t>
      </w:r>
      <w:r>
        <w:rPr>
          <w:rFonts w:hint="eastAsia" w:ascii="Calibri" w:hAnsi="Calibri" w:eastAsia="楷体_GB2312"/>
          <w:lang w:val="en-US" w:eastAsia="zh-CN"/>
        </w:rPr>
        <w:t>事故发生单位及相关单位安全管理情况</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宋体" w:hAnsi="宋体" w:cs="仿宋_GB2312"/>
          <w:szCs w:val="32"/>
          <w:lang w:val="en-US" w:eastAsia="zh-CN"/>
        </w:rPr>
      </w:pPr>
      <w:r>
        <w:rPr>
          <w:rFonts w:hint="eastAsia" w:ascii="宋体" w:hAnsi="宋体" w:cs="仿宋_GB2312"/>
          <w:color w:val="auto"/>
          <w:kern w:val="0"/>
          <w:sz w:val="32"/>
          <w:szCs w:val="32"/>
          <w:lang w:val="en-US" w:eastAsia="zh-CN"/>
        </w:rPr>
        <w:t>1.将乐县汉宇物流有限公司</w:t>
      </w:r>
      <w:r>
        <w:rPr>
          <w:rFonts w:hint="eastAsia" w:ascii="宋体" w:hAnsi="宋体" w:cs="仿宋_GB2312"/>
          <w:szCs w:val="32"/>
          <w:lang w:val="en-US" w:eastAsia="zh-CN"/>
        </w:rPr>
        <w:t>设有安全生产组织机构，由1名主要负责人、2名安全员、1名监控员组成，驾驶员岗前教育交由主要负责人、安全员、车队长负责，培训内容包括安全操作规程、安全生产自律检查消除事故隐患等内容，上岗后每月驾驶员必须完成2个课时的安全再教育（每月学时不得少于90分钟）。主要负责人和安全员均持有《道路运输企业主要负责人和安全生产管理人员安全考核合格证明》。</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default" w:ascii="宋体" w:hAnsi="宋体" w:cs="仿宋_GB2312"/>
          <w:szCs w:val="32"/>
          <w:highlight w:val="yellow"/>
          <w:lang w:val="en-US" w:eastAsia="zh-CN"/>
        </w:rPr>
      </w:pPr>
      <w:r>
        <w:rPr>
          <w:rFonts w:hint="eastAsia" w:ascii="宋体" w:hAnsi="宋体" w:cs="仿宋_GB2312"/>
          <w:szCs w:val="32"/>
          <w:lang w:val="en-US" w:eastAsia="zh-CN"/>
        </w:rPr>
        <w:t>2.福建凤起供应链管理有限公司</w:t>
      </w:r>
      <w:r>
        <w:rPr>
          <w:rFonts w:hint="eastAsia" w:ascii="宋体" w:hAnsi="宋体" w:cs="仿宋_GB2312"/>
          <w:szCs w:val="32"/>
          <w:highlight w:val="none"/>
          <w:lang w:val="en-US" w:eastAsia="zh-CN"/>
        </w:rPr>
        <w:t>设有财务部、生产部两个部门，</w:t>
      </w:r>
      <w:r>
        <w:rPr>
          <w:rFonts w:hint="eastAsia" w:ascii="宋体" w:hAnsi="宋体" w:cs="仿宋_GB2312"/>
          <w:szCs w:val="32"/>
          <w:lang w:val="en-US" w:eastAsia="zh-CN"/>
        </w:rPr>
        <w:t>于2025年3月正式进入港区作业，</w:t>
      </w:r>
      <w:r>
        <w:rPr>
          <w:rFonts w:hint="eastAsia" w:ascii="宋体" w:hAnsi="宋体" w:cs="仿宋_GB2312"/>
          <w:szCs w:val="32"/>
          <w:highlight w:val="none"/>
          <w:lang w:val="en-US" w:eastAsia="zh-CN"/>
        </w:rPr>
        <w:t>在港区设有4个散装水泥储罐（3个2000吨1个4000吨），</w:t>
      </w:r>
      <w:r>
        <w:rPr>
          <w:rFonts w:hint="eastAsia" w:ascii="宋体" w:hAnsi="宋体" w:cs="仿宋_GB2312"/>
          <w:szCs w:val="32"/>
          <w:lang w:val="en-US" w:eastAsia="zh-CN"/>
        </w:rPr>
        <w:t>因在港区作业，安全管理纳入了福建肖厝港物流有限责任公司的管理。公司编制了安全操作规程和规章管理制度，并组织学习。福建凤起供应链管理有限公司与</w:t>
      </w:r>
      <w:r>
        <w:rPr>
          <w:rFonts w:hint="eastAsia" w:ascii="宋体" w:hAnsi="宋体" w:cs="仿宋_GB2312"/>
          <w:szCs w:val="32"/>
          <w:highlight w:val="none"/>
          <w:lang w:val="en-US" w:eastAsia="zh-CN"/>
        </w:rPr>
        <w:t>买主</w:t>
      </w:r>
      <w:r>
        <w:rPr>
          <w:rFonts w:hint="eastAsia" w:ascii="宋体" w:hAnsi="宋体" w:cs="仿宋_GB2312"/>
          <w:szCs w:val="32"/>
          <w:lang w:val="en-US" w:eastAsia="zh-CN"/>
        </w:rPr>
        <w:t>（福建蒲和贸易有限公司）于2024年12月签订《安全管理协议书》，协议规定福建蒲和贸易有限公司需遵守福建凤起供应链管理有限公司的安全生产管理制度、安全操作规程等要求。</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eastAsia" w:ascii="宋体" w:hAnsi="宋体" w:cs="仿宋_GB2312"/>
          <w:szCs w:val="32"/>
          <w:lang w:val="en-US" w:eastAsia="zh-CN"/>
        </w:rPr>
      </w:pPr>
      <w:r>
        <w:rPr>
          <w:rFonts w:hint="eastAsia" w:ascii="宋体" w:hAnsi="宋体" w:cs="仿宋_GB2312"/>
          <w:szCs w:val="32"/>
          <w:lang w:val="en-US" w:eastAsia="zh-CN"/>
        </w:rPr>
        <w:t>3.福建肖厝港物流有限责任公司</w:t>
      </w:r>
      <w:r>
        <w:rPr>
          <w:rFonts w:hint="eastAsia" w:ascii="宋体" w:hAnsi="宋体" w:cs="仿宋_GB2312"/>
          <w:color w:val="auto"/>
          <w:kern w:val="2"/>
          <w:sz w:val="32"/>
          <w:szCs w:val="32"/>
          <w:lang w:val="en-US" w:eastAsia="zh-CN"/>
        </w:rPr>
        <w:t>与福建凤起供应链管理有限公司于2025年4月8日签订了《安全管理协议》，</w:t>
      </w:r>
      <w:r>
        <w:rPr>
          <w:rFonts w:hint="eastAsia" w:ascii="宋体" w:hAnsi="宋体" w:cs="仿宋_GB2312"/>
          <w:szCs w:val="32"/>
          <w:lang w:val="en-US" w:eastAsia="zh-CN"/>
        </w:rPr>
        <w:t>明确双方权利和义务。组织</w:t>
      </w:r>
      <w:r>
        <w:rPr>
          <w:rFonts w:hint="eastAsia" w:ascii="宋体" w:hAnsi="宋体" w:cs="仿宋_GB2312"/>
          <w:color w:val="auto"/>
          <w:kern w:val="2"/>
          <w:sz w:val="32"/>
          <w:szCs w:val="32"/>
          <w:lang w:val="en-US" w:eastAsia="zh-CN"/>
        </w:rPr>
        <w:t>福建凤起供应链管理有限公司</w:t>
      </w:r>
      <w:r>
        <w:rPr>
          <w:rFonts w:hint="eastAsia" w:ascii="宋体" w:hAnsi="宋体" w:cs="仿宋_GB2312"/>
          <w:szCs w:val="32"/>
          <w:lang w:val="en-US" w:eastAsia="zh-CN"/>
        </w:rPr>
        <w:t>作业人员进行入厂前的三级教育和安全交底培训，内容包括公司规章制度、防护用品使用和维护、工作环境及危险因素识别与控制方法、应急处置和职业卫生等并进行考核。每月开展班组教育学习，传达贯彻安全要求、观看安全教育警示片、反复学习卸船生产操作规程和消防器材使用等。每月开展安全生产检查督查，及时消除隐患。制定各岗位职责和操作规程并在作业现场上墙告知。制定水泥中转作业工艺与水泥生产安全事故现场处置方案，并组织学习和培训。编制《安全生产风险评估报告》，定期开展安全生产风险辨识。</w:t>
      </w:r>
      <w:bookmarkEnd w:id="125"/>
      <w:bookmarkEnd w:id="126"/>
      <w:r>
        <w:rPr>
          <w:rFonts w:hint="eastAsia" w:ascii="宋体" w:hAnsi="宋体" w:cs="仿宋_GB2312"/>
          <w:szCs w:val="32"/>
          <w:lang w:val="en-US" w:eastAsia="zh-CN"/>
        </w:rPr>
        <w:t>装卸货车辆进入码头装卸需事先在福建肖厝港物流有限责任公司的进出入报备群报备，路线由福建肖厝港物流有限责任公司进行安排，相关车辆司机进入码头装卸由福建凤起供应链管理有限公司告知车队负责人安全事项，再由车队负责人在微信报备群（肖厝码头装车群）告知安全注意事项，到达库区装卸现场后，由福建凤起供应链管理有限公司现场工作人员再次告知司机做好安全措施和佩戴好劳保用品。</w:t>
      </w:r>
    </w:p>
    <w:p>
      <w:pPr>
        <w:pStyle w:val="4"/>
        <w:keepNext/>
        <w:keepLines w:val="0"/>
        <w:pageBreakBefore w:val="0"/>
        <w:widowControl w:val="0"/>
        <w:kinsoku/>
        <w:wordWrap/>
        <w:overflowPunct/>
        <w:topLinePunct w:val="0"/>
        <w:autoSpaceDE/>
        <w:autoSpaceDN/>
        <w:bidi w:val="0"/>
        <w:adjustRightInd/>
        <w:snapToGrid/>
        <w:ind w:left="0" w:leftChars="0" w:firstLineChars="200"/>
        <w:jc w:val="both"/>
        <w:textAlignment w:val="auto"/>
        <w:outlineLvl w:val="9"/>
        <w:rPr>
          <w:rFonts w:hint="eastAsia" w:ascii="Calibri" w:hAnsi="Calibri" w:eastAsia="楷体_GB2312" w:cs="Times New Roman"/>
          <w:kern w:val="2"/>
          <w:sz w:val="32"/>
          <w:szCs w:val="22"/>
          <w:lang w:val="en-US" w:eastAsia="zh-CN" w:bidi="ar-SA"/>
        </w:rPr>
      </w:pPr>
      <w:bookmarkStart w:id="127" w:name="_Toc6499"/>
      <w:bookmarkStart w:id="128" w:name="_Toc3003"/>
      <w:bookmarkStart w:id="129" w:name="_Toc24782"/>
      <w:r>
        <w:rPr>
          <w:rFonts w:hint="eastAsia" w:ascii="Calibri" w:hAnsi="Calibri" w:eastAsia="楷体_GB2312" w:cs="Times New Roman"/>
          <w:b/>
          <w:kern w:val="2"/>
          <w:sz w:val="32"/>
          <w:szCs w:val="22"/>
          <w:lang w:val="en-US" w:eastAsia="zh-CN" w:bidi="ar-SA"/>
        </w:rPr>
        <w:t>（四）运输项目概况</w:t>
      </w:r>
      <w:bookmarkEnd w:id="127"/>
      <w:bookmarkEnd w:id="128"/>
      <w:bookmarkEnd w:id="129"/>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宋体" w:hAnsi="宋体" w:cs="仿宋_GB2312"/>
          <w:szCs w:val="32"/>
          <w:lang w:val="en-US" w:eastAsia="zh-CN"/>
        </w:rPr>
      </w:pPr>
      <w:r>
        <w:rPr>
          <w:rFonts w:hint="eastAsia" w:ascii="宋体" w:hAnsi="宋体" w:cs="仿宋_GB2312"/>
          <w:szCs w:val="32"/>
          <w:lang w:val="en-US" w:eastAsia="zh-CN"/>
        </w:rPr>
        <w:t>本次运输协议是由福建蒲和贸易有限公司自行上门提货，福建蒲和贸易有限公司委托大田楷图物流公司前往福建凤起供应链管理有限公司运输散装水泥。大田楷图物流公司再将本次运输委托外包给将乐县汉宇物流有限公司。大田楷图物流公司与将乐县汉宇物流有限公司签有相关协议，且相关人员均在福建肖厝港物流有限责任公司微信报备群（肖厝码头装车群）进行了报备。4月29日将乐县汉宇物流有限公司在微信报备群（肖厝码头装车群）进行了相关安全告知。</w:t>
      </w:r>
    </w:p>
    <w:p>
      <w:pPr>
        <w:pStyle w:val="10"/>
        <w:keepLines w:val="0"/>
        <w:jc w:val="center"/>
        <w:rPr>
          <w:rFonts w:hint="default" w:ascii="宋体" w:hAnsi="宋体"/>
          <w:lang w:val="en-US" w:eastAsia="zh-CN"/>
        </w:rPr>
      </w:pPr>
      <w:bookmarkStart w:id="130" w:name="_Toc23131"/>
      <w:bookmarkStart w:id="131" w:name="_Toc17926"/>
      <w:bookmarkStart w:id="132" w:name="_Toc207"/>
      <w:bookmarkStart w:id="133" w:name="_Toc22064"/>
      <w:r>
        <w:rPr>
          <w:rFonts w:hint="default" w:ascii="宋体" w:hAnsi="宋体"/>
          <w:lang w:val="en-US" w:eastAsia="zh-CN"/>
        </w:rPr>
        <w:drawing>
          <wp:inline distT="0" distB="0" distL="114300" distR="114300">
            <wp:extent cx="3354705" cy="3884295"/>
            <wp:effectExtent l="0" t="0" r="17145" b="1905"/>
            <wp:docPr id="10" name="图片 10" descr="175074828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50748280640"/>
                    <pic:cNvPicPr>
                      <a:picLocks noChangeAspect="1"/>
                    </pic:cNvPicPr>
                  </pic:nvPicPr>
                  <pic:blipFill>
                    <a:blip r:embed="rId9"/>
                    <a:srcRect t="1608" b="16570"/>
                    <a:stretch>
                      <a:fillRect/>
                    </a:stretch>
                  </pic:blipFill>
                  <pic:spPr>
                    <a:xfrm>
                      <a:off x="0" y="0"/>
                      <a:ext cx="3354705" cy="3884295"/>
                    </a:xfrm>
                    <a:prstGeom prst="rect">
                      <a:avLst/>
                    </a:prstGeom>
                  </pic:spPr>
                </pic:pic>
              </a:graphicData>
            </a:graphic>
          </wp:inline>
        </w:drawing>
      </w:r>
    </w:p>
    <w:p>
      <w:pPr>
        <w:keepLines w:val="0"/>
        <w:jc w:val="center"/>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eastAsia="zh-CN"/>
        </w:rPr>
        <w:t>图</w:t>
      </w:r>
      <w:r>
        <w:rPr>
          <w:rFonts w:hint="eastAsia" w:ascii="宋体" w:hAnsi="宋体" w:eastAsia="宋体" w:cs="宋体"/>
          <w:b w:val="0"/>
          <w:bCs/>
          <w:sz w:val="28"/>
          <w:szCs w:val="28"/>
          <w:lang w:val="en-US" w:eastAsia="zh-CN"/>
        </w:rPr>
        <w:t>1 企业微信群安全告知</w:t>
      </w:r>
    </w:p>
    <w:p>
      <w:pPr>
        <w:pStyle w:val="4"/>
        <w:keepLines w:val="0"/>
        <w:rPr>
          <w:rFonts w:hint="eastAsia" w:ascii="Calibri" w:hAnsi="Calibri" w:eastAsia="楷体_GB2312"/>
        </w:rPr>
      </w:pPr>
      <w:bookmarkStart w:id="134" w:name="_Toc26174"/>
      <w:bookmarkStart w:id="135" w:name="_Toc16009"/>
      <w:bookmarkStart w:id="136" w:name="_Toc7631"/>
      <w:bookmarkStart w:id="137" w:name="_Toc2429"/>
      <w:bookmarkStart w:id="138" w:name="_Toc23891"/>
      <w:bookmarkStart w:id="139" w:name="_Toc19738"/>
      <w:bookmarkStart w:id="140" w:name="_Toc18331"/>
      <w:bookmarkStart w:id="141" w:name="_Toc19259"/>
      <w:bookmarkStart w:id="142" w:name="_Toc25109"/>
      <w:bookmarkStart w:id="143" w:name="_Toc23145"/>
      <w:bookmarkStart w:id="144" w:name="_Toc8790"/>
      <w:bookmarkStart w:id="145" w:name="_Toc20079"/>
      <w:r>
        <w:rPr>
          <w:rFonts w:hint="eastAsia" w:ascii="Calibri" w:hAnsi="Calibri" w:eastAsia="楷体_GB2312"/>
        </w:rPr>
        <w:t>（</w:t>
      </w:r>
      <w:r>
        <w:rPr>
          <w:rFonts w:hint="eastAsia" w:ascii="Calibri" w:hAnsi="Calibri" w:eastAsia="楷体_GB2312"/>
          <w:lang w:val="en-US" w:eastAsia="zh-CN"/>
        </w:rPr>
        <w:t>五</w:t>
      </w:r>
      <w:r>
        <w:rPr>
          <w:rFonts w:hint="eastAsia" w:ascii="Calibri" w:hAnsi="Calibri" w:eastAsia="楷体_GB2312"/>
        </w:rPr>
        <w:t>）事故发生经过</w:t>
      </w:r>
      <w:bookmarkEnd w:id="130"/>
      <w:bookmarkEnd w:id="131"/>
      <w:bookmarkEnd w:id="134"/>
      <w:bookmarkEnd w:id="135"/>
      <w:bookmarkEnd w:id="136"/>
      <w:bookmarkEnd w:id="137"/>
      <w:bookmarkEnd w:id="138"/>
      <w:bookmarkEnd w:id="139"/>
      <w:bookmarkEnd w:id="140"/>
      <w:bookmarkEnd w:id="141"/>
      <w:bookmarkEnd w:id="142"/>
      <w:bookmarkEnd w:id="143"/>
      <w:bookmarkEnd w:id="144"/>
      <w:bookmarkEnd w:id="145"/>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宋体" w:hAnsi="宋体"/>
          <w:sz w:val="32"/>
          <w:szCs w:val="32"/>
          <w:lang w:val="en-US" w:eastAsia="zh-CN"/>
        </w:rPr>
      </w:pPr>
      <w:r>
        <w:rPr>
          <w:rFonts w:hint="eastAsia" w:ascii="宋体" w:hAnsi="宋体" w:cs="仿宋_GB2312"/>
          <w:szCs w:val="32"/>
          <w:lang w:val="en-US" w:eastAsia="zh-CN"/>
        </w:rPr>
        <w:t>2025年5月4日将乐县汉宇物流有限公司驾驶员杨*升根据公司安排前往福建凤起供应链管理有限公司运输散装水泥。</w:t>
      </w:r>
      <w:r>
        <w:rPr>
          <w:rFonts w:hint="eastAsia" w:ascii="宋体" w:hAnsi="宋体" w:cs="Times New Roman"/>
          <w:sz w:val="32"/>
          <w:szCs w:val="32"/>
          <w:lang w:val="en-US" w:eastAsia="zh-CN"/>
        </w:rPr>
        <w:t>13时09分许，杨*升驾驶的</w:t>
      </w:r>
      <w:r>
        <w:rPr>
          <w:rFonts w:hint="eastAsia" w:ascii="宋体" w:hAnsi="宋体" w:eastAsia="仿宋_GB2312"/>
          <w:sz w:val="32"/>
          <w:szCs w:val="32"/>
        </w:rPr>
        <w:t>闽</w:t>
      </w:r>
      <w:r>
        <w:rPr>
          <w:rFonts w:hint="default" w:ascii="Times New Roman" w:hAnsi="Times New Roman" w:eastAsia="仿宋_GB2312"/>
          <w:sz w:val="32"/>
          <w:szCs w:val="32"/>
        </w:rPr>
        <w:t>GB</w:t>
      </w:r>
      <w:r>
        <w:rPr>
          <w:rFonts w:hint="eastAsia" w:ascii="宋体" w:hAnsi="宋体" w:eastAsia="仿宋_GB2312"/>
          <w:sz w:val="32"/>
          <w:szCs w:val="32"/>
        </w:rPr>
        <w:t>8773</w:t>
      </w:r>
      <w:r>
        <w:rPr>
          <w:rFonts w:hint="eastAsia" w:ascii="宋体" w:hAnsi="宋体"/>
          <w:sz w:val="32"/>
          <w:szCs w:val="32"/>
          <w:lang w:eastAsia="zh-CN"/>
        </w:rPr>
        <w:t>（</w:t>
      </w:r>
      <w:r>
        <w:rPr>
          <w:rFonts w:hint="eastAsia" w:ascii="宋体" w:hAnsi="宋体"/>
          <w:sz w:val="32"/>
          <w:szCs w:val="32"/>
          <w:lang w:val="en-US" w:eastAsia="zh-CN"/>
        </w:rPr>
        <w:t>闽</w:t>
      </w:r>
      <w:r>
        <w:rPr>
          <w:rFonts w:hint="default" w:ascii="Times New Roman" w:hAnsi="Times New Roman"/>
          <w:sz w:val="32"/>
          <w:szCs w:val="32"/>
          <w:lang w:val="en-US" w:eastAsia="zh-CN"/>
        </w:rPr>
        <w:t>GG</w:t>
      </w:r>
      <w:r>
        <w:rPr>
          <w:rFonts w:hint="eastAsia" w:ascii="宋体" w:hAnsi="宋体"/>
          <w:sz w:val="32"/>
          <w:szCs w:val="32"/>
          <w:lang w:val="en-US" w:eastAsia="zh-CN"/>
        </w:rPr>
        <w:t>901挂</w:t>
      </w:r>
      <w:r>
        <w:rPr>
          <w:rFonts w:hint="eastAsia" w:ascii="宋体" w:hAnsi="宋体"/>
          <w:sz w:val="32"/>
          <w:szCs w:val="32"/>
          <w:lang w:eastAsia="zh-CN"/>
        </w:rPr>
        <w:t>）</w:t>
      </w:r>
      <w:r>
        <w:rPr>
          <w:rFonts w:hint="eastAsia" w:ascii="宋体" w:hAnsi="宋体"/>
          <w:sz w:val="32"/>
          <w:szCs w:val="32"/>
          <w:lang w:val="en-US" w:eastAsia="zh-CN"/>
        </w:rPr>
        <w:t>重型半挂牵引车因装散装水泥超量约1吨，无法通过福建肖厝港物流有限责任公司的地磅，需返回散装水泥罐区卸掉超量的散装水泥。14时许驾驶员杨*升将超量的散装水泥卸料至4号散装水泥罐，</w:t>
      </w:r>
      <w:r>
        <w:rPr>
          <w:rFonts w:hint="eastAsia" w:ascii="宋体" w:hAnsi="宋体" w:cs="仿宋_GB2312"/>
          <w:sz w:val="32"/>
          <w:szCs w:val="32"/>
          <w:lang w:val="en-US" w:eastAsia="zh-CN"/>
        </w:rPr>
        <w:t>在卸料未完全结束时的情况下（卸料管未摘除），</w:t>
      </w:r>
      <w:r>
        <w:rPr>
          <w:rFonts w:hint="eastAsia" w:ascii="宋体" w:hAnsi="宋体"/>
          <w:sz w:val="32"/>
          <w:szCs w:val="32"/>
          <w:lang w:val="en-US" w:eastAsia="zh-CN"/>
        </w:rPr>
        <w:t>放料员母*平口头提醒告知驾驶员杨*升收起卸料管后即可离开，同时要注意行车安全，便去开展下一辆车的装料工作。14时20分</w:t>
      </w:r>
      <w:r>
        <w:rPr>
          <w:rFonts w:hint="eastAsia" w:ascii="宋体" w:hAnsi="宋体" w:cs="Times New Roman"/>
          <w:sz w:val="32"/>
          <w:szCs w:val="32"/>
          <w:lang w:val="en-US" w:eastAsia="zh-CN"/>
        </w:rPr>
        <w:t>放料员</w:t>
      </w:r>
      <w:r>
        <w:rPr>
          <w:rFonts w:hint="eastAsia" w:ascii="宋体" w:hAnsi="宋体"/>
          <w:sz w:val="32"/>
          <w:szCs w:val="32"/>
          <w:lang w:val="en-US" w:eastAsia="zh-CN"/>
        </w:rPr>
        <w:t>母*平发现驾驶员</w:t>
      </w:r>
      <w:r>
        <w:rPr>
          <w:rFonts w:hint="eastAsia" w:ascii="宋体" w:hAnsi="宋体" w:cs="Times New Roman"/>
          <w:sz w:val="32"/>
          <w:szCs w:val="32"/>
          <w:lang w:val="en-US" w:eastAsia="zh-CN"/>
        </w:rPr>
        <w:t>杨*升受伤躺在地上，第一时间拨打120和110</w:t>
      </w:r>
      <w:r>
        <w:rPr>
          <w:rFonts w:hint="eastAsia" w:ascii="宋体" w:hAnsi="宋体"/>
          <w:sz w:val="32"/>
          <w:szCs w:val="32"/>
          <w:highlight w:val="none"/>
          <w:lang w:val="en-US" w:eastAsia="zh-CN"/>
        </w:rPr>
        <w:t>。</w:t>
      </w:r>
      <w:r>
        <w:rPr>
          <w:rFonts w:hint="eastAsia" w:ascii="宋体" w:hAnsi="宋体"/>
          <w:sz w:val="32"/>
          <w:szCs w:val="32"/>
          <w:lang w:val="en-US" w:eastAsia="zh-CN"/>
        </w:rPr>
        <w:t>14时34分许，救护车到达现场，杨*升本人处于清醒状态，第一时间送至泉州仁福骨外科医院，后因血压低、病情重，转至</w:t>
      </w:r>
      <w:r>
        <w:rPr>
          <w:rFonts w:hint="eastAsia" w:ascii="宋体" w:hAnsi="宋体" w:cs="Times New Roman"/>
          <w:sz w:val="32"/>
          <w:szCs w:val="32"/>
          <w:lang w:val="en-US" w:eastAsia="zh-CN"/>
        </w:rPr>
        <w:t>泉州第一</w:t>
      </w:r>
      <w:r>
        <w:rPr>
          <w:rFonts w:hint="eastAsia" w:ascii="宋体" w:hAnsi="宋体"/>
          <w:sz w:val="32"/>
          <w:szCs w:val="32"/>
          <w:lang w:val="en-US" w:eastAsia="zh-CN"/>
        </w:rPr>
        <w:t>医院救治。20时05分许杨*升不治身亡。</w:t>
      </w:r>
    </w:p>
    <w:p>
      <w:pPr>
        <w:keepLines w:val="0"/>
        <w:spacing w:line="560" w:lineRule="exact"/>
        <w:ind w:firstLine="640" w:firstLineChars="200"/>
        <w:rPr>
          <w:rFonts w:hint="eastAsia" w:ascii="宋体" w:hAnsi="宋体" w:eastAsia="楷体_GB2312" w:cs="楷体_GB2312"/>
          <w:b/>
          <w:bCs/>
          <w:szCs w:val="32"/>
        </w:rPr>
      </w:pPr>
      <w:r>
        <w:rPr>
          <w:rFonts w:hint="eastAsia" w:ascii="宋体" w:hAnsi="宋体" w:eastAsia="楷体_GB2312" w:cs="楷体_GB2312"/>
          <w:b/>
          <w:bCs/>
          <w:szCs w:val="32"/>
          <w:lang w:eastAsia="zh-CN"/>
        </w:rPr>
        <w:drawing>
          <wp:anchor distT="0" distB="0" distL="114300" distR="114300" simplePos="0" relativeHeight="251661312" behindDoc="1" locked="0" layoutInCell="1" allowOverlap="1">
            <wp:simplePos x="0" y="0"/>
            <wp:positionH relativeFrom="column">
              <wp:posOffset>889635</wp:posOffset>
            </wp:positionH>
            <wp:positionV relativeFrom="paragraph">
              <wp:posOffset>33020</wp:posOffset>
            </wp:positionV>
            <wp:extent cx="4085590" cy="2428240"/>
            <wp:effectExtent l="0" t="0" r="10160" b="10160"/>
            <wp:wrapTight wrapText="bothSides">
              <wp:wrapPolygon>
                <wp:start x="0" y="0"/>
                <wp:lineTo x="0" y="21351"/>
                <wp:lineTo x="21452" y="21351"/>
                <wp:lineTo x="21452" y="0"/>
                <wp:lineTo x="0" y="0"/>
              </wp:wrapPolygon>
            </wp:wrapTight>
            <wp:docPr id="2" name="图片 2" descr="0dcc244883381609d7eb55528614b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dcc244883381609d7eb55528614bdf"/>
                    <pic:cNvPicPr>
                      <a:picLocks noChangeAspect="1"/>
                    </pic:cNvPicPr>
                  </pic:nvPicPr>
                  <pic:blipFill>
                    <a:blip r:embed="rId10"/>
                    <a:srcRect l="14822" t="14000" r="1725" b="14229"/>
                    <a:stretch>
                      <a:fillRect/>
                    </a:stretch>
                  </pic:blipFill>
                  <pic:spPr>
                    <a:xfrm>
                      <a:off x="0" y="0"/>
                      <a:ext cx="4085590" cy="2428240"/>
                    </a:xfrm>
                    <a:prstGeom prst="rect">
                      <a:avLst/>
                    </a:prstGeom>
                  </pic:spPr>
                </pic:pic>
              </a:graphicData>
            </a:graphic>
          </wp:anchor>
        </w:drawing>
      </w:r>
    </w:p>
    <w:p>
      <w:pPr>
        <w:keepLines w:val="0"/>
        <w:spacing w:line="560" w:lineRule="exact"/>
        <w:ind w:firstLine="640" w:firstLineChars="200"/>
        <w:rPr>
          <w:rFonts w:hint="eastAsia" w:ascii="宋体" w:hAnsi="宋体" w:eastAsia="楷体_GB2312" w:cs="楷体_GB2312"/>
          <w:b/>
          <w:bCs/>
          <w:szCs w:val="32"/>
        </w:rPr>
      </w:pPr>
    </w:p>
    <w:p>
      <w:pPr>
        <w:keepLines w:val="0"/>
        <w:spacing w:line="560" w:lineRule="exact"/>
        <w:ind w:firstLine="640" w:firstLineChars="200"/>
        <w:rPr>
          <w:rFonts w:hint="eastAsia" w:ascii="宋体" w:hAnsi="宋体" w:eastAsia="楷体_GB2312" w:cs="楷体_GB2312"/>
          <w:b/>
          <w:bCs/>
          <w:szCs w:val="32"/>
          <w:lang w:eastAsia="zh-CN"/>
        </w:rPr>
      </w:pPr>
    </w:p>
    <w:p>
      <w:pPr>
        <w:keepLines w:val="0"/>
        <w:spacing w:line="560" w:lineRule="exact"/>
        <w:ind w:firstLine="640" w:firstLineChars="200"/>
        <w:rPr>
          <w:rFonts w:hint="eastAsia" w:ascii="宋体" w:hAnsi="宋体" w:eastAsia="楷体_GB2312" w:cs="楷体_GB2312"/>
          <w:b/>
          <w:bCs/>
          <w:szCs w:val="32"/>
        </w:rPr>
      </w:pPr>
    </w:p>
    <w:p>
      <w:pPr>
        <w:keepLines w:val="0"/>
        <w:spacing w:line="560" w:lineRule="exact"/>
        <w:ind w:firstLine="640" w:firstLineChars="200"/>
        <w:rPr>
          <w:rFonts w:hint="eastAsia" w:ascii="宋体" w:hAnsi="宋体" w:eastAsia="楷体_GB2312" w:cs="楷体_GB2312"/>
          <w:b/>
          <w:bCs/>
          <w:szCs w:val="32"/>
        </w:rPr>
      </w:pPr>
    </w:p>
    <w:p>
      <w:pPr>
        <w:keepLines w:val="0"/>
        <w:spacing w:line="560" w:lineRule="exact"/>
        <w:ind w:firstLine="640" w:firstLineChars="200"/>
        <w:rPr>
          <w:rFonts w:hint="eastAsia" w:ascii="宋体" w:hAnsi="宋体" w:eastAsia="楷体_GB2312" w:cs="楷体_GB2312"/>
          <w:b/>
          <w:bCs/>
          <w:szCs w:val="32"/>
        </w:rPr>
      </w:pPr>
    </w:p>
    <w:p>
      <w:pPr>
        <w:keepLines w:val="0"/>
        <w:spacing w:line="560" w:lineRule="exact"/>
        <w:ind w:firstLine="640" w:firstLineChars="200"/>
        <w:rPr>
          <w:rFonts w:hint="eastAsia" w:ascii="宋体" w:hAnsi="宋体" w:eastAsia="楷体_GB2312" w:cs="楷体_GB2312"/>
          <w:b/>
          <w:bCs/>
          <w:szCs w:val="32"/>
        </w:rPr>
      </w:pPr>
    </w:p>
    <w:p>
      <w:pPr>
        <w:keepLines w:val="0"/>
        <w:spacing w:line="560" w:lineRule="exact"/>
        <w:ind w:firstLine="560" w:firstLineChars="200"/>
        <w:jc w:val="center"/>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eastAsia="zh-CN"/>
        </w:rPr>
        <w:t>图</w:t>
      </w:r>
      <w:r>
        <w:rPr>
          <w:rFonts w:hint="eastAsia" w:ascii="宋体" w:hAnsi="宋体" w:eastAsia="宋体" w:cs="宋体"/>
          <w:b w:val="0"/>
          <w:bCs/>
          <w:sz w:val="28"/>
          <w:szCs w:val="28"/>
          <w:lang w:val="en-US" w:eastAsia="zh-CN"/>
        </w:rPr>
        <w:t>2 杨*升掉落位置</w:t>
      </w:r>
    </w:p>
    <w:p>
      <w:pPr>
        <w:keepLines w:val="0"/>
        <w:spacing w:line="560" w:lineRule="exact"/>
        <w:ind w:firstLine="560" w:firstLineChars="200"/>
        <w:jc w:val="center"/>
        <w:rPr>
          <w:rFonts w:hint="default" w:ascii="宋体" w:hAnsi="宋体" w:eastAsia="楷体_GB2312" w:cs="楷体_GB2312"/>
          <w:b/>
          <w:bCs/>
          <w:sz w:val="28"/>
          <w:szCs w:val="28"/>
          <w:lang w:val="en-US"/>
        </w:rPr>
      </w:pPr>
      <w:r>
        <w:rPr>
          <w:rFonts w:hint="eastAsia" w:ascii="宋体" w:hAnsi="宋体" w:eastAsia="宋体" w:cs="宋体"/>
          <w:b w:val="0"/>
          <w:bCs/>
          <w:sz w:val="28"/>
          <w:szCs w:val="28"/>
          <w:lang w:val="en-US" w:eastAsia="zh-CN"/>
        </w:rPr>
        <w:t>（图中可看出杨*升未系安全带且未正确佩戴安全帽）</w:t>
      </w:r>
    </w:p>
    <w:p>
      <w:pPr>
        <w:pStyle w:val="4"/>
        <w:keepLines w:val="0"/>
        <w:ind w:firstLineChars="200"/>
        <w:rPr>
          <w:rFonts w:hint="eastAsia" w:ascii="Calibri" w:hAnsi="Calibri" w:eastAsia="楷体_GB2312"/>
        </w:rPr>
      </w:pPr>
      <w:bookmarkStart w:id="146" w:name="_Toc10222"/>
      <w:bookmarkStart w:id="147" w:name="_Toc16486"/>
      <w:bookmarkStart w:id="148" w:name="_Toc23171"/>
      <w:bookmarkStart w:id="149" w:name="_Toc23401"/>
      <w:bookmarkStart w:id="150" w:name="_Toc29795"/>
      <w:bookmarkStart w:id="151" w:name="_Toc10678"/>
      <w:bookmarkStart w:id="152" w:name="_Toc24050"/>
      <w:bookmarkStart w:id="153" w:name="_Toc1045"/>
      <w:bookmarkStart w:id="154" w:name="_Toc6971"/>
      <w:bookmarkStart w:id="155" w:name="_Toc1265"/>
      <w:bookmarkStart w:id="156" w:name="_Toc18906"/>
      <w:bookmarkStart w:id="157" w:name="_Toc7869"/>
      <w:bookmarkStart w:id="158" w:name="_Toc19006"/>
      <w:bookmarkStart w:id="159" w:name="_Toc5887"/>
      <w:r>
        <w:rPr>
          <w:rFonts w:hint="eastAsia" w:ascii="Calibri" w:hAnsi="Calibri" w:eastAsia="楷体_GB2312"/>
        </w:rPr>
        <w:t>（</w:t>
      </w:r>
      <w:r>
        <w:rPr>
          <w:rFonts w:hint="eastAsia" w:ascii="Calibri" w:hAnsi="Calibri" w:eastAsia="楷体_GB2312"/>
          <w:lang w:val="en-US" w:eastAsia="zh-CN"/>
        </w:rPr>
        <w:t>六</w:t>
      </w:r>
      <w:r>
        <w:rPr>
          <w:rFonts w:hint="eastAsia" w:ascii="Calibri" w:hAnsi="Calibri" w:eastAsia="楷体_GB2312"/>
        </w:rPr>
        <w:t>）事故现场情况</w:t>
      </w:r>
      <w:bookmarkEnd w:id="132"/>
      <w:bookmarkEnd w:id="133"/>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pPr>
        <w:keepLines w:val="0"/>
        <w:widowControl w:val="0"/>
        <w:spacing w:line="560" w:lineRule="exact"/>
        <w:ind w:firstLine="640" w:firstLineChars="200"/>
        <w:outlineLvl w:val="9"/>
        <w:rPr>
          <w:rFonts w:hint="default" w:ascii="宋体" w:hAnsi="宋体" w:eastAsia="仿宋_GB2312" w:cs="仿宋_GB2312"/>
          <w:szCs w:val="32"/>
          <w:lang w:val="en-US" w:eastAsia="zh-CN"/>
        </w:rPr>
      </w:pPr>
      <w:r>
        <w:rPr>
          <w:rFonts w:hint="eastAsia" w:ascii="宋体" w:hAnsi="宋体" w:cs="仿宋_GB2312"/>
          <w:szCs w:val="32"/>
          <w:lang w:val="en-US" w:eastAsia="zh-CN"/>
        </w:rPr>
        <w:t>现场</w:t>
      </w:r>
      <w:r>
        <w:rPr>
          <w:rFonts w:hint="eastAsia" w:ascii="宋体" w:hAnsi="宋体" w:eastAsia="仿宋_GB2312"/>
          <w:sz w:val="32"/>
          <w:szCs w:val="32"/>
        </w:rPr>
        <w:t>闽</w:t>
      </w:r>
      <w:r>
        <w:rPr>
          <w:rFonts w:hint="default" w:ascii="Times New Roman" w:hAnsi="Times New Roman" w:eastAsia="仿宋_GB2312"/>
          <w:sz w:val="32"/>
          <w:szCs w:val="32"/>
        </w:rPr>
        <w:t>GB</w:t>
      </w:r>
      <w:r>
        <w:rPr>
          <w:rFonts w:hint="eastAsia" w:ascii="宋体" w:hAnsi="宋体" w:eastAsia="仿宋_GB2312"/>
          <w:sz w:val="32"/>
          <w:szCs w:val="32"/>
        </w:rPr>
        <w:t>8773</w:t>
      </w:r>
      <w:r>
        <w:rPr>
          <w:rFonts w:hint="eastAsia" w:ascii="宋体" w:hAnsi="宋体"/>
          <w:sz w:val="32"/>
          <w:szCs w:val="32"/>
          <w:lang w:eastAsia="zh-CN"/>
        </w:rPr>
        <w:t>（</w:t>
      </w:r>
      <w:r>
        <w:rPr>
          <w:rFonts w:hint="eastAsia" w:ascii="宋体" w:hAnsi="宋体"/>
          <w:sz w:val="32"/>
          <w:szCs w:val="32"/>
          <w:lang w:val="en-US" w:eastAsia="zh-CN"/>
        </w:rPr>
        <w:t>闽</w:t>
      </w:r>
      <w:r>
        <w:rPr>
          <w:rFonts w:hint="default" w:ascii="Times New Roman" w:hAnsi="Times New Roman"/>
          <w:sz w:val="32"/>
          <w:szCs w:val="32"/>
          <w:lang w:val="en-US" w:eastAsia="zh-CN"/>
        </w:rPr>
        <w:t>GG</w:t>
      </w:r>
      <w:r>
        <w:rPr>
          <w:rFonts w:hint="eastAsia" w:ascii="宋体" w:hAnsi="宋体"/>
          <w:sz w:val="32"/>
          <w:szCs w:val="32"/>
          <w:lang w:val="en-US" w:eastAsia="zh-CN"/>
        </w:rPr>
        <w:t>901挂</w:t>
      </w:r>
      <w:r>
        <w:rPr>
          <w:rFonts w:hint="eastAsia" w:ascii="宋体" w:hAnsi="宋体"/>
          <w:sz w:val="32"/>
          <w:szCs w:val="32"/>
          <w:lang w:eastAsia="zh-CN"/>
        </w:rPr>
        <w:t>）</w:t>
      </w:r>
      <w:r>
        <w:rPr>
          <w:rFonts w:hint="eastAsia" w:ascii="宋体" w:hAnsi="宋体"/>
          <w:sz w:val="32"/>
          <w:szCs w:val="32"/>
          <w:lang w:val="en-US" w:eastAsia="zh-CN"/>
        </w:rPr>
        <w:t>重型半挂牵引车停靠在4号散装水泥罐旁，车的卸料管连接在4号散装水泥罐的卸料口未拆除，闽</w:t>
      </w:r>
      <w:r>
        <w:rPr>
          <w:rFonts w:hint="default" w:ascii="Times New Roman" w:hAnsi="Times New Roman"/>
          <w:sz w:val="32"/>
          <w:szCs w:val="32"/>
          <w:lang w:val="en-US" w:eastAsia="zh-CN"/>
        </w:rPr>
        <w:t>GG</w:t>
      </w:r>
      <w:r>
        <w:rPr>
          <w:rFonts w:hint="eastAsia" w:ascii="宋体" w:hAnsi="宋体"/>
          <w:sz w:val="32"/>
          <w:szCs w:val="32"/>
          <w:lang w:val="en-US" w:eastAsia="zh-CN"/>
        </w:rPr>
        <w:t>901挂车罐顶卸料口呈打开状态。闽</w:t>
      </w:r>
      <w:r>
        <w:rPr>
          <w:rFonts w:hint="default" w:ascii="Times New Roman" w:hAnsi="Times New Roman"/>
          <w:sz w:val="32"/>
          <w:szCs w:val="32"/>
          <w:lang w:val="en-US" w:eastAsia="zh-CN"/>
        </w:rPr>
        <w:t>GG</w:t>
      </w:r>
      <w:r>
        <w:rPr>
          <w:rFonts w:hint="eastAsia" w:ascii="宋体" w:hAnsi="宋体"/>
          <w:sz w:val="32"/>
          <w:szCs w:val="32"/>
          <w:lang w:val="en-US" w:eastAsia="zh-CN"/>
        </w:rPr>
        <w:t>901挂罐体贴有“单仓粉罐车操作方法”，4号散装水泥罐体上贴有</w:t>
      </w:r>
      <w:r>
        <w:rPr>
          <w:rFonts w:hint="eastAsia" w:ascii="宋体" w:hAnsi="宋体" w:cs="仿宋_GB2312"/>
          <w:szCs w:val="32"/>
          <w:lang w:val="en-US" w:eastAsia="zh-CN"/>
        </w:rPr>
        <w:t>装车发货安全操作规程和卸货入库安全操作规程</w:t>
      </w:r>
      <w:r>
        <w:rPr>
          <w:rFonts w:hint="eastAsia" w:ascii="宋体" w:hAnsi="宋体"/>
          <w:sz w:val="32"/>
          <w:szCs w:val="32"/>
          <w:lang w:val="en-US" w:eastAsia="zh-CN"/>
        </w:rPr>
        <w:t>，其中卸货入库安全操作规程中明确写有“完成卸货后司机关闭气泵及阀门即作业结束，结束后车辆自行离开库区。严禁在打料过程中司机私自登上车顶，严禁罐体在有压力的情况下打开车装料口的盖子”。事故发生当日，福建凤起供应链管理有限公司已对事故区域采取封锁措施，并将码头摄像头调整对准4号散装水泥罐区，观察事故现场相关情况。</w:t>
      </w:r>
    </w:p>
    <w:p>
      <w:pPr>
        <w:pStyle w:val="10"/>
        <w:keepLines w:val="0"/>
        <w:jc w:val="center"/>
        <w:rPr>
          <w:rFonts w:hint="eastAsia" w:ascii="宋体" w:hAnsi="宋体" w:eastAsia="仿宋_GB2312"/>
          <w:lang w:eastAsia="zh-CN"/>
        </w:rPr>
      </w:pPr>
      <w:r>
        <w:rPr>
          <w:rFonts w:hint="eastAsia" w:ascii="宋体" w:hAnsi="宋体" w:eastAsia="仿宋_GB2312"/>
          <w:lang w:eastAsia="zh-CN"/>
        </w:rPr>
        <w:drawing>
          <wp:inline distT="0" distB="0" distL="114300" distR="114300">
            <wp:extent cx="2140585" cy="2856230"/>
            <wp:effectExtent l="0" t="0" r="12065" b="1270"/>
            <wp:docPr id="3" name="图片 3" descr="f603c6c6e0f4ae723ddba6aa0d7c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603c6c6e0f4ae723ddba6aa0d7c761"/>
                    <pic:cNvPicPr>
                      <a:picLocks noChangeAspect="1"/>
                    </pic:cNvPicPr>
                  </pic:nvPicPr>
                  <pic:blipFill>
                    <a:blip r:embed="rId11"/>
                    <a:stretch>
                      <a:fillRect/>
                    </a:stretch>
                  </pic:blipFill>
                  <pic:spPr>
                    <a:xfrm>
                      <a:off x="0" y="0"/>
                      <a:ext cx="2140585" cy="2856230"/>
                    </a:xfrm>
                    <a:prstGeom prst="rect">
                      <a:avLst/>
                    </a:prstGeom>
                  </pic:spPr>
                </pic:pic>
              </a:graphicData>
            </a:graphic>
          </wp:inline>
        </w:drawing>
      </w:r>
    </w:p>
    <w:p>
      <w:pPr>
        <w:keepLines w:val="0"/>
        <w:spacing w:line="560" w:lineRule="exact"/>
        <w:ind w:firstLine="560" w:firstLineChars="200"/>
        <w:jc w:val="center"/>
        <w:rPr>
          <w:rFonts w:hint="eastAsia" w:ascii="宋体" w:hAnsi="宋体" w:eastAsia="宋体" w:cs="宋体"/>
          <w:sz w:val="28"/>
          <w:szCs w:val="28"/>
          <w:lang w:eastAsia="zh-CN"/>
        </w:rPr>
      </w:pPr>
      <w:r>
        <w:rPr>
          <w:rFonts w:hint="eastAsia" w:ascii="宋体" w:hAnsi="宋体" w:eastAsia="宋体" w:cs="宋体"/>
          <w:b w:val="0"/>
          <w:bCs/>
          <w:sz w:val="28"/>
          <w:szCs w:val="28"/>
          <w:lang w:eastAsia="zh-CN"/>
        </w:rPr>
        <w:t>图</w:t>
      </w:r>
      <w:r>
        <w:rPr>
          <w:rFonts w:hint="eastAsia" w:ascii="宋体" w:hAnsi="宋体" w:eastAsia="宋体" w:cs="宋体"/>
          <w:b w:val="0"/>
          <w:bCs/>
          <w:sz w:val="28"/>
          <w:szCs w:val="28"/>
          <w:lang w:val="en-US" w:eastAsia="zh-CN"/>
        </w:rPr>
        <w:t xml:space="preserve">3 </w:t>
      </w:r>
      <w:r>
        <w:rPr>
          <w:rFonts w:hint="eastAsia" w:ascii="宋体" w:hAnsi="宋体" w:eastAsia="宋体" w:cs="宋体"/>
          <w:sz w:val="28"/>
          <w:szCs w:val="28"/>
          <w:lang w:val="en-US" w:eastAsia="zh-CN"/>
        </w:rPr>
        <w:t>单仓粉罐车操作方法</w:t>
      </w:r>
    </w:p>
    <w:p>
      <w:pPr>
        <w:keepLines w:val="0"/>
        <w:jc w:val="center"/>
        <w:rPr>
          <w:rFonts w:hint="eastAsia" w:ascii="宋体" w:hAnsi="宋体" w:eastAsia="仿宋_GB2312"/>
          <w:lang w:eastAsia="zh-CN"/>
        </w:rPr>
      </w:pPr>
      <w:r>
        <w:rPr>
          <w:rFonts w:hint="eastAsia" w:ascii="宋体" w:hAnsi="宋体" w:eastAsia="仿宋_GB2312"/>
          <w:lang w:eastAsia="zh-CN"/>
        </w:rPr>
        <w:drawing>
          <wp:inline distT="0" distB="0" distL="114300" distR="114300">
            <wp:extent cx="3422650" cy="2567305"/>
            <wp:effectExtent l="0" t="0" r="6350" b="4445"/>
            <wp:docPr id="6" name="图片 6" descr="16c08acbbbe8c67cfc72cfae7036f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c08acbbbe8c67cfc72cfae7036f89"/>
                    <pic:cNvPicPr>
                      <a:picLocks noChangeAspect="1"/>
                    </pic:cNvPicPr>
                  </pic:nvPicPr>
                  <pic:blipFill>
                    <a:blip r:embed="rId12"/>
                    <a:stretch>
                      <a:fillRect/>
                    </a:stretch>
                  </pic:blipFill>
                  <pic:spPr>
                    <a:xfrm>
                      <a:off x="0" y="0"/>
                      <a:ext cx="3422650" cy="2567305"/>
                    </a:xfrm>
                    <a:prstGeom prst="rect">
                      <a:avLst/>
                    </a:prstGeom>
                  </pic:spPr>
                </pic:pic>
              </a:graphicData>
            </a:graphic>
          </wp:inline>
        </w:drawing>
      </w:r>
    </w:p>
    <w:p>
      <w:pPr>
        <w:keepLines w:val="0"/>
        <w:spacing w:line="560" w:lineRule="exact"/>
        <w:ind w:firstLine="560" w:firstLineChars="200"/>
        <w:jc w:val="center"/>
        <w:rPr>
          <w:rFonts w:hint="default" w:ascii="宋体" w:hAnsi="宋体" w:eastAsia="仿宋_GB2312"/>
          <w:sz w:val="28"/>
          <w:szCs w:val="28"/>
          <w:lang w:val="en-US" w:eastAsia="zh-CN"/>
        </w:rPr>
      </w:pPr>
      <w:r>
        <w:rPr>
          <w:rFonts w:hint="eastAsia" w:ascii="宋体" w:hAnsi="宋体" w:eastAsia="宋体" w:cs="宋体"/>
          <w:b w:val="0"/>
          <w:bCs/>
          <w:sz w:val="28"/>
          <w:szCs w:val="28"/>
          <w:lang w:eastAsia="zh-CN"/>
        </w:rPr>
        <w:t>图</w:t>
      </w:r>
      <w:r>
        <w:rPr>
          <w:rFonts w:hint="eastAsia" w:ascii="宋体" w:hAnsi="宋体" w:eastAsia="宋体" w:cs="宋体"/>
          <w:b w:val="0"/>
          <w:bCs/>
          <w:sz w:val="28"/>
          <w:szCs w:val="28"/>
          <w:lang w:val="en-US" w:eastAsia="zh-CN"/>
        </w:rPr>
        <w:t>4 相关安全操作规程</w:t>
      </w:r>
    </w:p>
    <w:p>
      <w:pPr>
        <w:keepLines w:val="0"/>
        <w:jc w:val="center"/>
        <w:rPr>
          <w:rFonts w:ascii="宋体" w:hAnsi="宋体"/>
        </w:rPr>
      </w:pPr>
      <w:r>
        <w:rPr>
          <w:rFonts w:hint="eastAsia" w:ascii="宋体" w:hAnsi="宋体" w:eastAsia="楷体_GB2312" w:cs="楷体_GB2312"/>
          <w:b/>
          <w:bCs/>
          <w:szCs w:val="32"/>
          <w:lang w:eastAsia="zh-CN"/>
        </w:rPr>
        <w:drawing>
          <wp:inline distT="0" distB="0" distL="114300" distR="114300">
            <wp:extent cx="4111625" cy="3082290"/>
            <wp:effectExtent l="0" t="0" r="3175" b="3810"/>
            <wp:docPr id="9" name="图片 9" descr="3920cce5150b89d0d24088c8be258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920cce5150b89d0d24088c8be258b2"/>
                    <pic:cNvPicPr>
                      <a:picLocks noChangeAspect="1"/>
                    </pic:cNvPicPr>
                  </pic:nvPicPr>
                  <pic:blipFill>
                    <a:blip r:embed="rId13"/>
                    <a:stretch>
                      <a:fillRect/>
                    </a:stretch>
                  </pic:blipFill>
                  <pic:spPr>
                    <a:xfrm>
                      <a:off x="0" y="0"/>
                      <a:ext cx="4111625" cy="3082290"/>
                    </a:xfrm>
                    <a:prstGeom prst="rect">
                      <a:avLst/>
                    </a:prstGeom>
                  </pic:spPr>
                </pic:pic>
              </a:graphicData>
            </a:graphic>
          </wp:inline>
        </w:drawing>
      </w:r>
    </w:p>
    <w:p>
      <w:pPr>
        <w:keepLines w:val="0"/>
        <w:spacing w:line="560" w:lineRule="exact"/>
        <w:ind w:firstLine="560" w:firstLineChars="200"/>
        <w:jc w:val="center"/>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eastAsia="zh-CN"/>
        </w:rPr>
        <w:t>图</w:t>
      </w:r>
      <w:r>
        <w:rPr>
          <w:rFonts w:hint="eastAsia" w:ascii="宋体" w:hAnsi="宋体" w:eastAsia="宋体" w:cs="宋体"/>
          <w:b w:val="0"/>
          <w:bCs/>
          <w:sz w:val="28"/>
          <w:szCs w:val="28"/>
          <w:lang w:val="en-US" w:eastAsia="zh-CN"/>
        </w:rPr>
        <w:t>5 现场卸料管未拆除</w:t>
      </w:r>
    </w:p>
    <w:p>
      <w:pPr>
        <w:pStyle w:val="4"/>
        <w:keepLines w:val="0"/>
        <w:ind w:firstLineChars="200"/>
        <w:rPr>
          <w:rFonts w:hint="eastAsia" w:ascii="Calibri" w:hAnsi="Calibri" w:eastAsia="楷体_GB2312" w:cs="Times New Roman"/>
          <w:szCs w:val="22"/>
          <w:lang w:val="en-US" w:eastAsia="zh-CN"/>
        </w:rPr>
      </w:pPr>
      <w:bookmarkStart w:id="160" w:name="_Toc29182"/>
      <w:bookmarkStart w:id="161" w:name="_Toc4252"/>
      <w:bookmarkStart w:id="162" w:name="_Toc6865"/>
      <w:bookmarkStart w:id="163" w:name="_Toc15272"/>
      <w:bookmarkStart w:id="164" w:name="_Toc15504"/>
      <w:bookmarkStart w:id="165" w:name="_Toc5963"/>
      <w:bookmarkStart w:id="166" w:name="_Toc23403"/>
      <w:bookmarkStart w:id="167" w:name="_Toc9399"/>
      <w:bookmarkStart w:id="168" w:name="_Toc23555"/>
      <w:bookmarkStart w:id="169" w:name="_Toc26326"/>
      <w:bookmarkStart w:id="170" w:name="_Toc31081"/>
      <w:bookmarkStart w:id="171" w:name="_Toc2228"/>
      <w:bookmarkStart w:id="172" w:name="_Toc10936"/>
      <w:bookmarkStart w:id="173" w:name="_Toc32543"/>
      <w:r>
        <w:rPr>
          <w:rFonts w:hint="eastAsia" w:ascii="Calibri" w:hAnsi="Calibri" w:eastAsia="楷体_GB2312"/>
        </w:rPr>
        <w:t>（</w:t>
      </w:r>
      <w:r>
        <w:rPr>
          <w:rFonts w:hint="eastAsia" w:ascii="Calibri" w:hAnsi="Calibri" w:eastAsia="楷体_GB2312"/>
          <w:lang w:val="en-US" w:eastAsia="zh-CN"/>
        </w:rPr>
        <w:t>七</w:t>
      </w:r>
      <w:r>
        <w:rPr>
          <w:rFonts w:hint="eastAsia" w:ascii="Calibri" w:hAnsi="Calibri" w:eastAsia="楷体_GB2312"/>
        </w:rPr>
        <w:t>）</w:t>
      </w:r>
      <w:r>
        <w:rPr>
          <w:rFonts w:hint="eastAsia" w:ascii="Calibri" w:hAnsi="Calibri" w:eastAsia="楷体_GB2312"/>
          <w:lang w:val="en-US" w:eastAsia="zh-CN"/>
        </w:rPr>
        <w:t>人员伤亡和直接经济损失情况</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pPr>
        <w:keepLines w:val="0"/>
        <w:numPr>
          <w:ilvl w:val="0"/>
          <w:numId w:val="0"/>
        </w:numPr>
        <w:autoSpaceDE/>
        <w:autoSpaceDN/>
        <w:spacing w:line="560" w:lineRule="exact"/>
        <w:ind w:firstLine="640" w:firstLineChars="200"/>
        <w:jc w:val="both"/>
        <w:outlineLvl w:val="9"/>
        <w:rPr>
          <w:rFonts w:hint="eastAsia" w:ascii="宋体" w:hAnsi="宋体" w:cs="仿宋_GB2312"/>
          <w:szCs w:val="32"/>
          <w:lang w:val="en-US" w:eastAsia="zh-CN"/>
        </w:rPr>
      </w:pPr>
      <w:r>
        <w:rPr>
          <w:rFonts w:hint="eastAsia" w:ascii="宋体" w:hAnsi="宋体" w:cs="仿宋_GB2312"/>
          <w:szCs w:val="32"/>
          <w:lang w:val="en-US" w:eastAsia="zh-CN"/>
        </w:rPr>
        <w:t>本事故造成1人死亡（</w:t>
      </w:r>
      <w:r>
        <w:rPr>
          <w:rFonts w:hint="default" w:ascii="宋体" w:hAnsi="宋体" w:cs="仿宋_GB2312"/>
          <w:szCs w:val="32"/>
          <w:lang w:eastAsia="zh-CN"/>
        </w:rPr>
        <w:t>死者</w:t>
      </w:r>
      <w:r>
        <w:rPr>
          <w:rFonts w:hint="eastAsia" w:ascii="宋体" w:hAnsi="宋体" w:cs="仿宋_GB2312"/>
          <w:szCs w:val="32"/>
          <w:lang w:eastAsia="zh-CN"/>
        </w:rPr>
        <w:t>杨*升，</w:t>
      </w:r>
      <w:r>
        <w:rPr>
          <w:rFonts w:hint="eastAsia" w:ascii="宋体" w:hAnsi="宋体" w:cs="仿宋_GB2312"/>
          <w:szCs w:val="32"/>
          <w:lang w:val="en-US" w:eastAsia="zh-CN"/>
        </w:rPr>
        <w:t>52岁，</w:t>
      </w:r>
      <w:r>
        <w:rPr>
          <w:rFonts w:hint="eastAsia" w:ascii="宋体" w:hAnsi="宋体" w:eastAsia="仿宋_GB2312"/>
          <w:sz w:val="32"/>
          <w:szCs w:val="32"/>
          <w:lang w:val="en-US" w:eastAsia="zh-CN"/>
        </w:rPr>
        <w:t>贵州省天桂县</w:t>
      </w:r>
      <w:r>
        <w:rPr>
          <w:rFonts w:hint="eastAsia" w:ascii="宋体" w:hAnsi="宋体"/>
          <w:sz w:val="32"/>
          <w:szCs w:val="32"/>
          <w:lang w:val="en-US" w:eastAsia="zh-CN"/>
        </w:rPr>
        <w:t>人</w:t>
      </w:r>
      <w:r>
        <w:rPr>
          <w:rFonts w:hint="eastAsia" w:ascii="宋体" w:hAnsi="宋体" w:cs="仿宋_GB2312"/>
          <w:szCs w:val="32"/>
          <w:lang w:val="en-US" w:eastAsia="zh-CN"/>
        </w:rPr>
        <w:t>）</w:t>
      </w:r>
      <w:r>
        <w:rPr>
          <w:rFonts w:hint="eastAsia" w:ascii="宋体" w:hAnsi="宋体"/>
          <w:sz w:val="32"/>
          <w:szCs w:val="32"/>
          <w:lang w:val="en-US" w:eastAsia="zh-CN"/>
        </w:rPr>
        <w:t>。</w:t>
      </w:r>
      <w:r>
        <w:rPr>
          <w:rFonts w:hint="eastAsia" w:ascii="宋体" w:hAnsi="宋体" w:cs="仿宋_GB2312"/>
          <w:szCs w:val="32"/>
          <w:lang w:val="en-US" w:eastAsia="zh-CN"/>
        </w:rPr>
        <w:t>直接经济损失人民币137.639万元（含</w:t>
      </w:r>
      <w:r>
        <w:rPr>
          <w:rFonts w:hint="eastAsia" w:ascii="宋体" w:hAnsi="宋体" w:eastAsia="仿宋_GB2312" w:cs="仿宋_GB2312"/>
          <w:kern w:val="0"/>
          <w:sz w:val="32"/>
          <w:szCs w:val="32"/>
          <w:lang w:val="en-US" w:eastAsia="zh-CN"/>
        </w:rPr>
        <w:t>支付</w:t>
      </w:r>
      <w:r>
        <w:rPr>
          <w:rFonts w:hint="eastAsia" w:ascii="宋体" w:hAnsi="宋体" w:cs="仿宋_GB2312"/>
          <w:kern w:val="0"/>
          <w:sz w:val="32"/>
          <w:szCs w:val="32"/>
          <w:lang w:val="en-US" w:eastAsia="zh-CN"/>
        </w:rPr>
        <w:t>医疗费0.639万元、</w:t>
      </w:r>
      <w:r>
        <w:rPr>
          <w:rFonts w:hint="eastAsia" w:ascii="宋体" w:hAnsi="宋体" w:eastAsia="仿宋_GB2312" w:cs="仿宋_GB2312"/>
          <w:kern w:val="0"/>
          <w:sz w:val="32"/>
          <w:szCs w:val="32"/>
          <w:lang w:val="en-US" w:eastAsia="zh-CN"/>
        </w:rPr>
        <w:t>丧葬补助金</w:t>
      </w:r>
      <w:r>
        <w:rPr>
          <w:rFonts w:hint="eastAsia" w:ascii="宋体" w:hAnsi="宋体" w:cs="仿宋_GB2312"/>
          <w:kern w:val="0"/>
          <w:sz w:val="32"/>
          <w:szCs w:val="32"/>
          <w:lang w:val="en-US" w:eastAsia="zh-CN"/>
        </w:rPr>
        <w:t>122万元</w:t>
      </w:r>
      <w:r>
        <w:rPr>
          <w:rFonts w:hint="eastAsia" w:ascii="宋体" w:hAnsi="宋体" w:eastAsia="仿宋_GB2312" w:cs="仿宋_GB2312"/>
          <w:kern w:val="0"/>
          <w:sz w:val="32"/>
          <w:szCs w:val="32"/>
          <w:lang w:val="en-US" w:eastAsia="zh-CN"/>
        </w:rPr>
        <w:t>、人道主义救助赔偿款</w:t>
      </w:r>
      <w:r>
        <w:rPr>
          <w:rFonts w:hint="eastAsia" w:ascii="宋体" w:hAnsi="宋体" w:cs="仿宋_GB2312"/>
          <w:kern w:val="0"/>
          <w:sz w:val="32"/>
          <w:szCs w:val="32"/>
          <w:lang w:val="en-US" w:eastAsia="zh-CN"/>
        </w:rPr>
        <w:t>15万元</w:t>
      </w:r>
      <w:r>
        <w:rPr>
          <w:rFonts w:hint="eastAsia" w:ascii="宋体" w:hAnsi="宋体" w:cs="仿宋_GB2312"/>
          <w:szCs w:val="32"/>
          <w:lang w:val="en-US" w:eastAsia="zh-CN"/>
        </w:rPr>
        <w:t xml:space="preserve">）。 </w:t>
      </w:r>
    </w:p>
    <w:p>
      <w:pPr>
        <w:pStyle w:val="4"/>
        <w:keepLines w:val="0"/>
        <w:spacing w:line="560" w:lineRule="exact"/>
        <w:ind w:firstLineChars="200"/>
        <w:rPr>
          <w:rFonts w:ascii="宋体" w:hAnsi="宋体"/>
        </w:rPr>
      </w:pPr>
      <w:bookmarkStart w:id="174" w:name="_Toc8933"/>
      <w:bookmarkStart w:id="175" w:name="_Toc3614"/>
      <w:bookmarkStart w:id="176" w:name="_Toc27078"/>
      <w:bookmarkStart w:id="177" w:name="_Toc10565"/>
      <w:bookmarkStart w:id="178" w:name="_Toc8308"/>
      <w:bookmarkStart w:id="179" w:name="_Toc3405"/>
      <w:bookmarkStart w:id="180" w:name="_Toc4835"/>
      <w:bookmarkStart w:id="181" w:name="_Toc32250"/>
      <w:bookmarkStart w:id="182" w:name="_Toc18215"/>
      <w:bookmarkStart w:id="183" w:name="_Toc7778"/>
      <w:bookmarkStart w:id="184" w:name="_Toc18907"/>
      <w:bookmarkStart w:id="185" w:name="_Toc19784"/>
      <w:bookmarkStart w:id="186" w:name="_Toc30111"/>
      <w:bookmarkStart w:id="187" w:name="_Toc2610"/>
      <w:bookmarkStart w:id="188" w:name="_Toc23035"/>
      <w:bookmarkStart w:id="189" w:name="_Toc24912"/>
      <w:bookmarkStart w:id="190" w:name="_Toc691"/>
      <w:r>
        <w:rPr>
          <w:rStyle w:val="23"/>
          <w:rFonts w:hint="eastAsia" w:ascii="宋体" w:hAnsi="宋体"/>
          <w:b w:val="0"/>
        </w:rPr>
        <w:t>二、事故</w:t>
      </w:r>
      <w:r>
        <w:rPr>
          <w:rStyle w:val="23"/>
          <w:rFonts w:hint="eastAsia" w:ascii="宋体" w:hAnsi="宋体"/>
          <w:b w:val="0"/>
          <w:lang w:val="en-US" w:eastAsia="zh-CN"/>
        </w:rPr>
        <w:t>应急处置和评估情况</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pStyle w:val="4"/>
        <w:keepLines w:val="0"/>
        <w:ind w:firstLineChars="200"/>
        <w:rPr>
          <w:rFonts w:hint="eastAsia" w:ascii="Calibri" w:hAnsi="Calibri" w:eastAsia="楷体_GB2312"/>
        </w:rPr>
      </w:pPr>
      <w:bookmarkStart w:id="191" w:name="_Toc16472"/>
      <w:bookmarkStart w:id="192" w:name="_Toc9894"/>
      <w:bookmarkStart w:id="193" w:name="_Toc16858"/>
      <w:bookmarkStart w:id="194" w:name="_Toc9191"/>
      <w:bookmarkStart w:id="195" w:name="_Toc19282"/>
      <w:bookmarkStart w:id="196" w:name="_Toc23475"/>
      <w:bookmarkStart w:id="197" w:name="_Toc31553"/>
      <w:bookmarkStart w:id="198" w:name="_Toc21210"/>
      <w:bookmarkStart w:id="199" w:name="_Toc20282"/>
      <w:bookmarkStart w:id="200" w:name="_Toc2559"/>
      <w:bookmarkStart w:id="201" w:name="_Toc699"/>
      <w:bookmarkStart w:id="202" w:name="_Toc19579"/>
      <w:bookmarkStart w:id="203" w:name="_Toc22771"/>
      <w:bookmarkStart w:id="204" w:name="_Toc29697"/>
      <w:bookmarkStart w:id="205" w:name="_Toc5352"/>
      <w:bookmarkStart w:id="206" w:name="_Toc19658"/>
      <w:bookmarkStart w:id="207" w:name="_Toc26482"/>
      <w:bookmarkStart w:id="208" w:name="_Toc9241"/>
      <w:bookmarkStart w:id="209" w:name="_Toc3554"/>
      <w:bookmarkStart w:id="210" w:name="_Toc20439"/>
      <w:bookmarkStart w:id="211" w:name="_Toc9122"/>
      <w:r>
        <w:rPr>
          <w:rFonts w:hint="eastAsia" w:ascii="Calibri" w:hAnsi="Calibri" w:eastAsia="楷体_GB2312"/>
        </w:rPr>
        <w:t>（</w:t>
      </w:r>
      <w:r>
        <w:rPr>
          <w:rFonts w:hint="eastAsia" w:ascii="Calibri" w:hAnsi="Calibri" w:eastAsia="楷体_GB2312"/>
          <w:lang w:val="en-US" w:eastAsia="zh-CN"/>
        </w:rPr>
        <w:t>一</w:t>
      </w:r>
      <w:r>
        <w:rPr>
          <w:rFonts w:hint="eastAsia" w:ascii="Calibri" w:hAnsi="Calibri" w:eastAsia="楷体_GB2312"/>
        </w:rPr>
        <w:t>）事故应急救援处置情况</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宋体" w:hAnsi="宋体" w:cs="Times New Roman"/>
          <w:sz w:val="32"/>
          <w:szCs w:val="32"/>
          <w:lang w:val="en-US" w:eastAsia="zh-CN"/>
        </w:rPr>
      </w:pPr>
      <w:r>
        <w:rPr>
          <w:rFonts w:hint="eastAsia" w:ascii="宋体" w:hAnsi="宋体" w:cs="Times New Roman"/>
          <w:sz w:val="32"/>
          <w:szCs w:val="32"/>
          <w:lang w:val="en-US" w:eastAsia="zh-CN"/>
        </w:rPr>
        <w:t>2025年5月4日14时20分许，放料员</w:t>
      </w:r>
      <w:r>
        <w:rPr>
          <w:rFonts w:hint="eastAsia" w:ascii="宋体" w:hAnsi="宋体"/>
          <w:sz w:val="32"/>
          <w:szCs w:val="32"/>
          <w:lang w:val="en-US" w:eastAsia="zh-CN"/>
        </w:rPr>
        <w:t>母*平发现驾驶员</w:t>
      </w:r>
      <w:r>
        <w:rPr>
          <w:rFonts w:hint="eastAsia" w:ascii="宋体" w:hAnsi="宋体" w:cs="Times New Roman"/>
          <w:sz w:val="32"/>
          <w:szCs w:val="32"/>
          <w:lang w:val="en-US" w:eastAsia="zh-CN"/>
        </w:rPr>
        <w:t>杨*升受伤躺在地上，第一时间拨打120和110，随后上报公司领导。</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宋体" w:hAnsi="宋体" w:cs="Times New Roman"/>
          <w:sz w:val="32"/>
          <w:szCs w:val="32"/>
          <w:lang w:val="en-US" w:eastAsia="zh-CN"/>
        </w:rPr>
      </w:pPr>
      <w:r>
        <w:rPr>
          <w:rFonts w:hint="eastAsia" w:ascii="宋体" w:hAnsi="宋体" w:cs="Times New Roman"/>
          <w:sz w:val="32"/>
          <w:szCs w:val="32"/>
          <w:lang w:val="en-US" w:eastAsia="zh-CN"/>
        </w:rPr>
        <w:t>2025年5月4日14时34分许，救护车抵达现场，对杨*升采取急救措施。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宋体" w:hAnsi="宋体" w:cs="Times New Roman"/>
          <w:sz w:val="32"/>
          <w:szCs w:val="32"/>
          <w:lang w:val="en-US" w:eastAsia="zh-CN"/>
        </w:rPr>
      </w:pPr>
      <w:r>
        <w:rPr>
          <w:rFonts w:hint="eastAsia" w:ascii="宋体" w:hAnsi="宋体" w:cs="Times New Roman"/>
          <w:sz w:val="32"/>
          <w:szCs w:val="32"/>
          <w:lang w:val="en-US" w:eastAsia="zh-CN"/>
        </w:rPr>
        <w:t>2025年5月4日14时50分许，110警务人员抵达现场了解情况。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宋体" w:hAnsi="宋体"/>
          <w:szCs w:val="32"/>
          <w:lang w:val="en-US" w:eastAsia="zh-CN"/>
        </w:rPr>
      </w:pPr>
      <w:r>
        <w:rPr>
          <w:rFonts w:hint="eastAsia" w:ascii="宋体" w:hAnsi="宋体" w:cs="Times New Roman"/>
          <w:sz w:val="32"/>
          <w:szCs w:val="32"/>
          <w:lang w:val="en-US" w:eastAsia="zh-CN"/>
        </w:rPr>
        <w:t>2025年5月4日14时51分许，救护车将杨*升载离现场，前往</w:t>
      </w:r>
      <w:r>
        <w:rPr>
          <w:rFonts w:hint="eastAsia" w:ascii="宋体" w:hAnsi="宋体"/>
          <w:szCs w:val="32"/>
        </w:rPr>
        <w:t>泉州仁福骨外科医院</w:t>
      </w:r>
      <w:r>
        <w:rPr>
          <w:rFonts w:hint="eastAsia" w:ascii="宋体" w:hAnsi="宋体" w:cs="Times New Roman"/>
          <w:sz w:val="32"/>
          <w:szCs w:val="32"/>
          <w:lang w:val="en-US" w:eastAsia="zh-CN"/>
        </w:rPr>
        <w:t>救治，将乐县汉宇物流有限公司员工</w:t>
      </w:r>
      <w:r>
        <w:rPr>
          <w:rFonts w:hint="eastAsia" w:ascii="宋体" w:hAnsi="宋体" w:eastAsia="仿宋_GB2312" w:cs="Times New Roman"/>
          <w:sz w:val="32"/>
          <w:szCs w:val="32"/>
          <w:lang w:val="en-US" w:eastAsia="zh-CN"/>
        </w:rPr>
        <w:t>郭植泉</w:t>
      </w:r>
      <w:r>
        <w:rPr>
          <w:rFonts w:hint="eastAsia" w:ascii="宋体" w:hAnsi="宋体" w:cs="Times New Roman"/>
          <w:sz w:val="32"/>
          <w:szCs w:val="32"/>
          <w:lang w:val="en-US" w:eastAsia="zh-CN"/>
        </w:rPr>
        <w:t>随车前往</w:t>
      </w:r>
      <w:r>
        <w:rPr>
          <w:rFonts w:hint="eastAsia" w:ascii="宋体" w:hAnsi="宋体"/>
          <w:szCs w:val="32"/>
        </w:rPr>
        <w:t>泉州仁福骨外科医院</w:t>
      </w:r>
      <w:r>
        <w:rPr>
          <w:rFonts w:hint="eastAsia" w:ascii="宋体" w:hAnsi="宋体" w:cs="Times New Roman"/>
          <w:sz w:val="32"/>
          <w:szCs w:val="32"/>
          <w:lang w:val="en-US" w:eastAsia="zh-CN"/>
        </w:rPr>
        <w:t>，</w:t>
      </w:r>
      <w:r>
        <w:rPr>
          <w:rFonts w:hint="eastAsia" w:ascii="宋体" w:hAnsi="宋体"/>
          <w:sz w:val="32"/>
          <w:szCs w:val="32"/>
          <w:lang w:val="en-US" w:eastAsia="zh-CN"/>
        </w:rPr>
        <w:t>后因血压低、病情重，转至</w:t>
      </w:r>
      <w:r>
        <w:rPr>
          <w:rFonts w:hint="eastAsia" w:ascii="宋体" w:hAnsi="宋体" w:cs="Times New Roman"/>
          <w:sz w:val="32"/>
          <w:szCs w:val="32"/>
          <w:lang w:val="en-US" w:eastAsia="zh-CN"/>
        </w:rPr>
        <w:t>泉州第一</w:t>
      </w:r>
      <w:r>
        <w:rPr>
          <w:rFonts w:hint="eastAsia" w:ascii="宋体" w:hAnsi="宋体"/>
          <w:sz w:val="32"/>
          <w:szCs w:val="32"/>
          <w:lang w:val="en-US" w:eastAsia="zh-CN"/>
        </w:rPr>
        <w:t>医院救治。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宋体" w:hAnsi="宋体" w:cs="Times New Roman"/>
          <w:sz w:val="32"/>
          <w:szCs w:val="32"/>
          <w:lang w:val="en-US" w:eastAsia="zh-CN"/>
        </w:rPr>
      </w:pPr>
      <w:r>
        <w:rPr>
          <w:rFonts w:hint="eastAsia" w:ascii="宋体" w:hAnsi="宋体" w:cs="Times New Roman"/>
          <w:sz w:val="32"/>
          <w:szCs w:val="32"/>
          <w:lang w:val="en-US" w:eastAsia="zh-CN"/>
        </w:rPr>
        <w:t>2025年5月4日20</w:t>
      </w:r>
      <w:r>
        <w:rPr>
          <w:rFonts w:hint="eastAsia" w:ascii="宋体" w:hAnsi="宋体"/>
          <w:sz w:val="32"/>
          <w:szCs w:val="32"/>
          <w:lang w:val="en-US" w:eastAsia="zh-CN"/>
        </w:rPr>
        <w:t>时05分</w:t>
      </w:r>
      <w:r>
        <w:rPr>
          <w:rFonts w:hint="eastAsia" w:ascii="宋体" w:hAnsi="宋体" w:cs="Times New Roman"/>
          <w:sz w:val="32"/>
          <w:szCs w:val="32"/>
          <w:lang w:val="en-US" w:eastAsia="zh-CN"/>
        </w:rPr>
        <w:t>许，杨*升在泉州第一医院不治身亡。</w:t>
      </w:r>
    </w:p>
    <w:p>
      <w:pPr>
        <w:pStyle w:val="4"/>
        <w:keepLines w:val="0"/>
        <w:ind w:firstLineChars="200"/>
        <w:rPr>
          <w:rFonts w:hint="eastAsia" w:ascii="Calibri" w:hAnsi="Calibri" w:eastAsia="楷体_GB2312"/>
        </w:rPr>
      </w:pPr>
      <w:bookmarkStart w:id="212" w:name="_Toc6096"/>
      <w:bookmarkStart w:id="213" w:name="_Toc4308"/>
      <w:bookmarkStart w:id="214" w:name="_Toc298"/>
      <w:bookmarkStart w:id="215" w:name="_Toc31606"/>
      <w:bookmarkStart w:id="216" w:name="_Toc3746"/>
      <w:bookmarkStart w:id="217" w:name="_Toc12337"/>
      <w:bookmarkStart w:id="218" w:name="_Toc19274"/>
      <w:bookmarkStart w:id="219" w:name="_Toc26311"/>
      <w:bookmarkStart w:id="220" w:name="_Toc21174"/>
      <w:bookmarkStart w:id="221" w:name="_Toc20230"/>
      <w:bookmarkStart w:id="222" w:name="_Toc5910"/>
      <w:bookmarkStart w:id="223" w:name="_Toc7179"/>
      <w:bookmarkStart w:id="224" w:name="_Toc18200"/>
      <w:bookmarkStart w:id="225" w:name="_Toc30726"/>
      <w:bookmarkStart w:id="226" w:name="_Toc31363"/>
      <w:bookmarkStart w:id="227" w:name="_Toc13694"/>
      <w:r>
        <w:rPr>
          <w:rFonts w:hint="eastAsia" w:ascii="Calibri" w:hAnsi="Calibri" w:eastAsia="楷体_GB2312"/>
        </w:rPr>
        <w:t>（</w:t>
      </w:r>
      <w:r>
        <w:rPr>
          <w:rFonts w:hint="eastAsia" w:ascii="Calibri" w:hAnsi="Calibri" w:eastAsia="楷体_GB2312"/>
          <w:lang w:val="en-US" w:eastAsia="zh-CN"/>
        </w:rPr>
        <w:t>二</w:t>
      </w:r>
      <w:r>
        <w:rPr>
          <w:rFonts w:hint="eastAsia" w:ascii="Calibri" w:hAnsi="Calibri" w:eastAsia="楷体_GB2312"/>
        </w:rPr>
        <w:t>）善后处置情况</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pPr>
        <w:keepNext w:val="0"/>
        <w:keepLines w:val="0"/>
        <w:pageBreakBefore w:val="0"/>
        <w:widowControl w:val="0"/>
        <w:numPr>
          <w:ilvl w:val="-1"/>
          <w:numId w:val="0"/>
        </w:numPr>
        <w:kinsoku/>
        <w:wordWrap/>
        <w:overflowPunct w:val="0"/>
        <w:topLinePunct w:val="0"/>
        <w:autoSpaceDE/>
        <w:autoSpaceDN/>
        <w:bidi w:val="0"/>
        <w:adjustRightInd w:val="0"/>
        <w:snapToGrid w:val="0"/>
        <w:spacing w:line="560" w:lineRule="exact"/>
        <w:ind w:firstLine="640" w:firstLineChars="200"/>
        <w:jc w:val="both"/>
        <w:textAlignment w:val="auto"/>
        <w:outlineLvl w:val="9"/>
        <w:rPr>
          <w:rFonts w:hint="default" w:ascii="宋体" w:hAnsi="宋体" w:cs="Times New Roman"/>
          <w:sz w:val="32"/>
          <w:szCs w:val="32"/>
          <w:lang w:val="en-US" w:eastAsia="zh-CN"/>
        </w:rPr>
      </w:pPr>
      <w:r>
        <w:rPr>
          <w:rFonts w:hint="eastAsia" w:ascii="宋体" w:hAnsi="宋体" w:cs="Times New Roman"/>
          <w:sz w:val="32"/>
          <w:szCs w:val="32"/>
          <w:lang w:val="en-US" w:eastAsia="zh-CN"/>
        </w:rPr>
        <w:t>5月5日</w:t>
      </w:r>
      <w:r>
        <w:rPr>
          <w:rFonts w:hint="eastAsia" w:ascii="宋体" w:hAnsi="宋体" w:cs="仿宋_GB2312"/>
          <w:color w:val="auto"/>
          <w:kern w:val="0"/>
          <w:sz w:val="32"/>
          <w:szCs w:val="32"/>
          <w:lang w:val="en-US" w:eastAsia="zh-CN"/>
        </w:rPr>
        <w:t>将乐县汉宇物流有限公司、福建肖厝港物流有限责任公司派人前往南埔镇调解中心</w:t>
      </w:r>
      <w:r>
        <w:rPr>
          <w:rFonts w:hint="eastAsia" w:ascii="宋体" w:hAnsi="宋体" w:cs="仿宋_GB2312"/>
          <w:szCs w:val="32"/>
        </w:rPr>
        <w:t>与</w:t>
      </w:r>
      <w:r>
        <w:rPr>
          <w:rFonts w:hint="eastAsia" w:ascii="宋体" w:hAnsi="宋体" w:cs="仿宋_GB2312"/>
          <w:szCs w:val="32"/>
          <w:lang w:val="en-US" w:eastAsia="zh-CN"/>
        </w:rPr>
        <w:t>死</w:t>
      </w:r>
      <w:r>
        <w:rPr>
          <w:rFonts w:hint="eastAsia" w:ascii="宋体" w:hAnsi="宋体" w:cs="仿宋_GB2312"/>
          <w:szCs w:val="32"/>
        </w:rPr>
        <w:t>者</w:t>
      </w:r>
      <w:r>
        <w:rPr>
          <w:rFonts w:hint="eastAsia" w:ascii="宋体" w:hAnsi="宋体" w:cs="仿宋_GB2312"/>
          <w:szCs w:val="32"/>
          <w:lang w:val="en-US" w:eastAsia="zh-CN"/>
        </w:rPr>
        <w:t>的</w:t>
      </w:r>
      <w:r>
        <w:rPr>
          <w:rFonts w:hint="eastAsia" w:ascii="宋体" w:hAnsi="宋体" w:cs="仿宋_GB2312"/>
          <w:szCs w:val="32"/>
        </w:rPr>
        <w:t>家属做好沟通及相关善后处置工作</w:t>
      </w:r>
      <w:r>
        <w:rPr>
          <w:rFonts w:hint="eastAsia" w:ascii="宋体" w:hAnsi="宋体" w:cs="仿宋_GB2312"/>
          <w:color w:val="auto"/>
          <w:kern w:val="0"/>
          <w:sz w:val="32"/>
          <w:szCs w:val="32"/>
          <w:lang w:val="en-US" w:eastAsia="zh-CN"/>
        </w:rPr>
        <w:t>。将乐县汉宇物流有限公司</w:t>
      </w:r>
      <w:r>
        <w:rPr>
          <w:rFonts w:hint="eastAsia" w:ascii="宋体" w:hAnsi="宋体" w:eastAsia="仿宋_GB2312" w:cs="仿宋_GB2312"/>
          <w:spacing w:val="6"/>
          <w:kern w:val="0"/>
          <w:sz w:val="32"/>
          <w:szCs w:val="32"/>
          <w:lang w:val="en-US" w:eastAsia="zh-CN"/>
        </w:rPr>
        <w:t>与</w:t>
      </w:r>
      <w:r>
        <w:rPr>
          <w:rFonts w:hint="eastAsia" w:ascii="宋体" w:hAnsi="宋体" w:cs="仿宋_GB2312"/>
          <w:spacing w:val="6"/>
          <w:kern w:val="0"/>
          <w:sz w:val="32"/>
          <w:szCs w:val="32"/>
          <w:lang w:val="en-US" w:eastAsia="zh-CN"/>
        </w:rPr>
        <w:t>杨*升的家属双方协商达成共识，于</w:t>
      </w:r>
      <w:r>
        <w:rPr>
          <w:rFonts w:hint="eastAsia" w:ascii="宋体" w:hAnsi="宋体" w:eastAsia="仿宋_GB2312" w:cs="仿宋_GB2312"/>
          <w:spacing w:val="6"/>
          <w:kern w:val="0"/>
          <w:sz w:val="32"/>
          <w:szCs w:val="32"/>
          <w:lang w:val="en-US" w:eastAsia="zh-CN"/>
        </w:rPr>
        <w:t>202</w:t>
      </w:r>
      <w:r>
        <w:rPr>
          <w:rFonts w:hint="eastAsia" w:ascii="宋体" w:hAnsi="宋体" w:cs="仿宋_GB2312"/>
          <w:spacing w:val="6"/>
          <w:kern w:val="0"/>
          <w:sz w:val="32"/>
          <w:szCs w:val="32"/>
          <w:lang w:val="en-US" w:eastAsia="zh-CN"/>
        </w:rPr>
        <w:t>5</w:t>
      </w:r>
      <w:r>
        <w:rPr>
          <w:rFonts w:hint="eastAsia" w:ascii="宋体" w:hAnsi="宋体" w:eastAsia="仿宋_GB2312" w:cs="仿宋_GB2312"/>
          <w:spacing w:val="6"/>
          <w:kern w:val="0"/>
          <w:sz w:val="32"/>
          <w:szCs w:val="32"/>
          <w:lang w:val="en-US" w:eastAsia="zh-CN"/>
        </w:rPr>
        <w:t>年</w:t>
      </w:r>
      <w:r>
        <w:rPr>
          <w:rFonts w:hint="eastAsia" w:ascii="宋体" w:hAnsi="宋体" w:cs="仿宋_GB2312"/>
          <w:spacing w:val="6"/>
          <w:kern w:val="0"/>
          <w:sz w:val="32"/>
          <w:szCs w:val="32"/>
          <w:lang w:val="en-US" w:eastAsia="zh-CN"/>
        </w:rPr>
        <w:t>5</w:t>
      </w:r>
      <w:r>
        <w:rPr>
          <w:rFonts w:hint="eastAsia" w:ascii="宋体" w:hAnsi="宋体" w:eastAsia="仿宋_GB2312" w:cs="仿宋_GB2312"/>
          <w:spacing w:val="6"/>
          <w:kern w:val="0"/>
          <w:sz w:val="32"/>
          <w:szCs w:val="32"/>
          <w:lang w:val="en-US" w:eastAsia="zh-CN"/>
        </w:rPr>
        <w:t>月1</w:t>
      </w:r>
      <w:r>
        <w:rPr>
          <w:rFonts w:hint="eastAsia" w:ascii="宋体" w:hAnsi="宋体" w:cs="仿宋_GB2312"/>
          <w:spacing w:val="6"/>
          <w:kern w:val="0"/>
          <w:sz w:val="32"/>
          <w:szCs w:val="32"/>
          <w:lang w:val="en-US" w:eastAsia="zh-CN"/>
        </w:rPr>
        <w:t>0</w:t>
      </w:r>
      <w:r>
        <w:rPr>
          <w:rFonts w:hint="eastAsia" w:ascii="宋体" w:hAnsi="宋体" w:eastAsia="仿宋_GB2312" w:cs="仿宋_GB2312"/>
          <w:spacing w:val="6"/>
          <w:kern w:val="0"/>
          <w:sz w:val="32"/>
          <w:szCs w:val="32"/>
          <w:lang w:val="en-US" w:eastAsia="zh-CN"/>
        </w:rPr>
        <w:t>日签订</w:t>
      </w:r>
      <w:r>
        <w:rPr>
          <w:rFonts w:hint="eastAsia" w:ascii="宋体" w:hAnsi="宋体" w:cs="仿宋_GB2312"/>
          <w:spacing w:val="6"/>
          <w:kern w:val="0"/>
          <w:sz w:val="32"/>
          <w:szCs w:val="32"/>
          <w:lang w:val="en-US" w:eastAsia="zh-CN"/>
        </w:rPr>
        <w:t>调解</w:t>
      </w:r>
      <w:r>
        <w:rPr>
          <w:rFonts w:hint="eastAsia" w:ascii="宋体" w:hAnsi="宋体" w:eastAsia="仿宋_GB2312" w:cs="仿宋_GB2312"/>
          <w:spacing w:val="6"/>
          <w:kern w:val="0"/>
          <w:sz w:val="32"/>
          <w:szCs w:val="32"/>
          <w:lang w:val="en-US" w:eastAsia="zh-CN"/>
        </w:rPr>
        <w:t>协议，</w:t>
      </w:r>
      <w:r>
        <w:rPr>
          <w:rFonts w:hint="eastAsia" w:ascii="宋体" w:hAnsi="宋体" w:cs="仿宋_GB2312"/>
          <w:spacing w:val="6"/>
          <w:kern w:val="0"/>
          <w:sz w:val="32"/>
          <w:szCs w:val="32"/>
          <w:lang w:val="en-US" w:eastAsia="zh-CN"/>
        </w:rPr>
        <w:t>截至5月13日，将乐县汉宇物流有限公司</w:t>
      </w:r>
      <w:r>
        <w:rPr>
          <w:rFonts w:hint="eastAsia" w:ascii="宋体" w:hAnsi="宋体" w:eastAsia="仿宋_GB2312" w:cs="仿宋_GB2312"/>
          <w:kern w:val="0"/>
          <w:sz w:val="32"/>
          <w:szCs w:val="32"/>
          <w:lang w:val="en-US" w:eastAsia="zh-CN"/>
        </w:rPr>
        <w:t>已支付</w:t>
      </w:r>
      <w:r>
        <w:rPr>
          <w:rFonts w:hint="eastAsia" w:ascii="宋体" w:hAnsi="宋体" w:cs="仿宋_GB2312"/>
          <w:kern w:val="0"/>
          <w:sz w:val="32"/>
          <w:szCs w:val="32"/>
          <w:lang w:val="en-US" w:eastAsia="zh-CN"/>
        </w:rPr>
        <w:t>给杨*升家属</w:t>
      </w:r>
      <w:r>
        <w:rPr>
          <w:rFonts w:hint="eastAsia" w:ascii="宋体" w:hAnsi="宋体" w:eastAsia="仿宋_GB2312" w:cs="仿宋_GB2312"/>
          <w:kern w:val="0"/>
          <w:sz w:val="32"/>
          <w:szCs w:val="32"/>
          <w:lang w:val="en-US" w:eastAsia="zh-CN"/>
        </w:rPr>
        <w:t>丧葬补助金等赔偿款合计人民币</w:t>
      </w:r>
      <w:r>
        <w:rPr>
          <w:rFonts w:hint="eastAsia" w:ascii="宋体" w:hAnsi="宋体" w:cs="仿宋_GB2312"/>
          <w:kern w:val="0"/>
          <w:sz w:val="32"/>
          <w:szCs w:val="32"/>
          <w:lang w:val="en-US" w:eastAsia="zh-CN"/>
        </w:rPr>
        <w:t>122</w:t>
      </w:r>
      <w:r>
        <w:rPr>
          <w:rFonts w:hint="eastAsia" w:ascii="宋体" w:hAnsi="宋体" w:eastAsia="仿宋_GB2312" w:cs="仿宋_GB2312"/>
          <w:kern w:val="0"/>
          <w:sz w:val="32"/>
          <w:szCs w:val="32"/>
          <w:lang w:val="en-US" w:eastAsia="zh-CN"/>
        </w:rPr>
        <w:t>万元</w:t>
      </w:r>
      <w:r>
        <w:rPr>
          <w:rFonts w:hint="eastAsia" w:ascii="宋体" w:hAnsi="宋体" w:cs="仿宋_GB2312"/>
          <w:kern w:val="0"/>
          <w:sz w:val="32"/>
          <w:szCs w:val="32"/>
          <w:lang w:val="en-US" w:eastAsia="zh-CN"/>
        </w:rPr>
        <w:t>；剩余</w:t>
      </w:r>
      <w:r>
        <w:rPr>
          <w:rFonts w:hint="eastAsia" w:ascii="宋体" w:hAnsi="宋体" w:eastAsia="仿宋_GB2312" w:cs="仿宋_GB2312"/>
          <w:kern w:val="0"/>
          <w:sz w:val="32"/>
          <w:szCs w:val="32"/>
          <w:lang w:val="en-US" w:eastAsia="zh-CN"/>
        </w:rPr>
        <w:t>15万元人道主义救助赔偿款</w:t>
      </w:r>
      <w:r>
        <w:rPr>
          <w:rFonts w:hint="eastAsia" w:ascii="宋体" w:hAnsi="宋体" w:cs="仿宋_GB2312"/>
          <w:kern w:val="0"/>
          <w:sz w:val="32"/>
          <w:szCs w:val="32"/>
          <w:lang w:val="en-US" w:eastAsia="zh-CN"/>
        </w:rPr>
        <w:t>尚未</w:t>
      </w:r>
      <w:r>
        <w:rPr>
          <w:rFonts w:hint="eastAsia" w:ascii="宋体" w:hAnsi="宋体" w:eastAsia="仿宋_GB2312" w:cs="仿宋_GB2312"/>
          <w:kern w:val="0"/>
          <w:sz w:val="32"/>
          <w:szCs w:val="32"/>
          <w:lang w:val="en-US" w:eastAsia="zh-CN"/>
        </w:rPr>
        <w:t>付清</w:t>
      </w:r>
      <w:r>
        <w:rPr>
          <w:rFonts w:hint="eastAsia" w:ascii="宋体" w:hAnsi="宋体" w:cs="仿宋_GB2312"/>
          <w:kern w:val="0"/>
          <w:sz w:val="32"/>
          <w:szCs w:val="32"/>
          <w:lang w:val="en-US" w:eastAsia="zh-CN"/>
        </w:rPr>
        <w:t>。</w:t>
      </w:r>
    </w:p>
    <w:p>
      <w:pPr>
        <w:pStyle w:val="4"/>
        <w:keepLines w:val="0"/>
        <w:rPr>
          <w:rFonts w:hint="eastAsia" w:ascii="Calibri" w:hAnsi="Calibri" w:eastAsia="楷体_GB2312"/>
        </w:rPr>
      </w:pPr>
      <w:bookmarkStart w:id="228" w:name="_Toc27085"/>
      <w:bookmarkStart w:id="229" w:name="_Toc3066"/>
      <w:bookmarkStart w:id="230" w:name="_Toc20840"/>
      <w:bookmarkStart w:id="231" w:name="_Toc8187"/>
      <w:bookmarkStart w:id="232" w:name="_Toc12419"/>
      <w:bookmarkStart w:id="233" w:name="_Toc12005"/>
      <w:bookmarkStart w:id="234" w:name="_Toc16088"/>
      <w:bookmarkStart w:id="235" w:name="_Toc30336"/>
      <w:bookmarkStart w:id="236" w:name="_Toc6618"/>
      <w:bookmarkStart w:id="237" w:name="_Toc28536"/>
      <w:bookmarkStart w:id="238" w:name="_Toc24837"/>
      <w:bookmarkStart w:id="239" w:name="_Toc25253"/>
      <w:bookmarkStart w:id="240" w:name="_Toc11495"/>
      <w:bookmarkStart w:id="241" w:name="_Toc17855"/>
      <w:bookmarkStart w:id="242" w:name="_Toc22696"/>
      <w:bookmarkStart w:id="243" w:name="_Toc8082"/>
      <w:r>
        <w:rPr>
          <w:rFonts w:hint="eastAsia" w:ascii="Calibri" w:hAnsi="Calibri" w:eastAsia="楷体_GB2312"/>
        </w:rPr>
        <w:t>（</w:t>
      </w:r>
      <w:r>
        <w:rPr>
          <w:rFonts w:hint="eastAsia" w:ascii="Calibri" w:hAnsi="Calibri" w:eastAsia="楷体_GB2312"/>
          <w:lang w:val="en-US" w:eastAsia="zh-CN"/>
        </w:rPr>
        <w:t>三</w:t>
      </w:r>
      <w:r>
        <w:rPr>
          <w:rFonts w:hint="eastAsia" w:ascii="Calibri" w:hAnsi="Calibri" w:eastAsia="楷体_GB2312"/>
        </w:rPr>
        <w:t>）事故应急处置评估情况</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宋体" w:hAnsi="宋体"/>
          <w:lang w:val="en-US" w:eastAsia="zh-CN"/>
        </w:rPr>
      </w:pPr>
      <w:r>
        <w:rPr>
          <w:rFonts w:hint="eastAsia" w:ascii="宋体" w:hAnsi="宋体"/>
          <w:lang w:val="en-US" w:eastAsia="zh-CN"/>
        </w:rPr>
        <w:t>本起事故应急救援过程效果良好，政府信息报送渠道畅通、信息流转及时、组织指挥有力、应急响应到位、现场施救有效、舆情社情平稳，未发生次生、衍生事故。</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jc w:val="both"/>
        <w:textAlignment w:val="auto"/>
        <w:outlineLvl w:val="9"/>
        <w:rPr>
          <w:rStyle w:val="23"/>
          <w:rFonts w:hint="eastAsia" w:ascii="宋体" w:hAnsi="宋体" w:eastAsia="黑体"/>
          <w:b w:val="0"/>
          <w:lang w:val="en-US" w:eastAsia="zh-CN"/>
        </w:rPr>
      </w:pPr>
      <w:bookmarkStart w:id="244" w:name="_Toc32253"/>
      <w:bookmarkStart w:id="245" w:name="_Toc20674"/>
      <w:bookmarkStart w:id="246" w:name="_Toc18655"/>
      <w:bookmarkStart w:id="247" w:name="_Toc17665"/>
      <w:bookmarkStart w:id="248" w:name="_Toc25394"/>
      <w:bookmarkStart w:id="249" w:name="_Toc4037"/>
      <w:r>
        <w:rPr>
          <w:rStyle w:val="23"/>
          <w:rFonts w:hint="eastAsia" w:ascii="宋体" w:hAnsi="宋体" w:eastAsia="黑体"/>
          <w:b w:val="0"/>
          <w:lang w:val="en-US" w:eastAsia="zh-CN"/>
        </w:rPr>
        <w:t>事故原因分析</w:t>
      </w:r>
    </w:p>
    <w:bookmarkEnd w:id="244"/>
    <w:bookmarkEnd w:id="245"/>
    <w:bookmarkEnd w:id="246"/>
    <w:bookmarkEnd w:id="247"/>
    <w:bookmarkEnd w:id="248"/>
    <w:bookmarkEnd w:id="249"/>
    <w:p>
      <w:pPr>
        <w:pStyle w:val="4"/>
        <w:keepNext w:val="0"/>
        <w:keepLines w:val="0"/>
        <w:rPr>
          <w:rFonts w:hint="eastAsia"/>
          <w:lang w:val="en-US" w:eastAsia="zh-CN"/>
        </w:rPr>
      </w:pPr>
      <w:bookmarkStart w:id="250" w:name="_Toc26526"/>
      <w:bookmarkStart w:id="251" w:name="_Toc24462"/>
      <w:bookmarkStart w:id="252" w:name="_Toc19570"/>
      <w:bookmarkStart w:id="253" w:name="_Toc1072"/>
      <w:bookmarkStart w:id="254" w:name="_Toc16996"/>
      <w:bookmarkStart w:id="255" w:name="_Toc24857"/>
      <w:r>
        <w:rPr>
          <w:rFonts w:hint="eastAsia"/>
          <w:lang w:val="en-US" w:eastAsia="zh-CN"/>
        </w:rPr>
        <w:t>（一）直接原因分析</w:t>
      </w:r>
      <w:bookmarkEnd w:id="250"/>
      <w:bookmarkEnd w:id="251"/>
      <w:bookmarkEnd w:id="252"/>
      <w:bookmarkEnd w:id="253"/>
      <w:bookmarkEnd w:id="254"/>
      <w:bookmarkEnd w:id="25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宋体" w:hAnsi="宋体" w:cs="Times New Roman"/>
          <w:highlight w:val="none"/>
          <w:lang w:val="en-US" w:eastAsia="zh-CN"/>
        </w:rPr>
      </w:pPr>
      <w:r>
        <w:rPr>
          <w:rFonts w:hint="eastAsia" w:ascii="宋体" w:hAnsi="宋体"/>
          <w:highlight w:val="none"/>
          <w:lang w:val="en-US" w:eastAsia="zh-CN"/>
        </w:rPr>
        <w:t>将乐县汉宇物流有限公司驾驶员杨*升安全意识淡薄，未按操作规程进行卸料作业，在</w:t>
      </w:r>
      <w:r>
        <w:rPr>
          <w:rFonts w:hint="eastAsia" w:ascii="宋体" w:hAnsi="宋体" w:cs="Times New Roman"/>
          <w:highlight w:val="none"/>
          <w:lang w:val="en-US" w:eastAsia="zh-CN"/>
        </w:rPr>
        <w:t>未观察车罐体内是否存在余压等安全状况的情况下私自上车罐</w:t>
      </w:r>
      <w:r>
        <w:rPr>
          <w:rFonts w:hint="eastAsia" w:ascii="宋体" w:hAnsi="宋体"/>
          <w:highlight w:val="none"/>
          <w:lang w:val="en-US" w:eastAsia="zh-CN"/>
        </w:rPr>
        <w:t>顶且上罐</w:t>
      </w:r>
      <w:r>
        <w:rPr>
          <w:rFonts w:hint="eastAsia" w:ascii="宋体" w:hAnsi="宋体" w:cs="Times New Roman"/>
          <w:highlight w:val="none"/>
          <w:lang w:val="en-US" w:eastAsia="zh-CN"/>
        </w:rPr>
        <w:t>未系安全带，最终致使装料盖打开击中杨*升，导致下肢创伤，因未系安全带，从罐顶坠落致二次创伤。</w:t>
      </w:r>
    </w:p>
    <w:p>
      <w:pPr>
        <w:pStyle w:val="4"/>
        <w:keepLines w:val="0"/>
        <w:rPr>
          <w:rFonts w:hint="eastAsia" w:ascii="Calibri" w:hAnsi="Calibri" w:eastAsia="楷体_GB2312"/>
          <w:lang w:val="en-US" w:eastAsia="zh-CN"/>
        </w:rPr>
      </w:pPr>
      <w:bookmarkStart w:id="256" w:name="_Toc19362"/>
      <w:bookmarkStart w:id="257" w:name="_Toc24577"/>
      <w:bookmarkStart w:id="258" w:name="_Toc742"/>
      <w:bookmarkStart w:id="259" w:name="_Toc24158"/>
      <w:bookmarkStart w:id="260" w:name="_Toc27274"/>
      <w:bookmarkStart w:id="261" w:name="_Toc28303"/>
      <w:bookmarkStart w:id="262" w:name="_Toc9448"/>
      <w:bookmarkStart w:id="263" w:name="_Toc24817"/>
      <w:bookmarkStart w:id="264" w:name="_Toc18167"/>
      <w:bookmarkStart w:id="265" w:name="_Toc6406"/>
      <w:bookmarkStart w:id="266" w:name="_Toc20466"/>
      <w:bookmarkStart w:id="267" w:name="_Toc19869"/>
      <w:bookmarkStart w:id="268" w:name="_Toc12633"/>
      <w:bookmarkStart w:id="269" w:name="_Toc6669"/>
      <w:r>
        <w:rPr>
          <w:rFonts w:hint="eastAsia" w:ascii="Calibri" w:hAnsi="Calibri" w:eastAsia="楷体_GB2312"/>
          <w:lang w:val="en-US" w:eastAsia="zh-CN"/>
        </w:rPr>
        <w:t>（二）间接原因</w:t>
      </w:r>
      <w:bookmarkEnd w:id="256"/>
      <w:r>
        <w:rPr>
          <w:rFonts w:hint="eastAsia" w:ascii="Calibri" w:hAnsi="Calibri" w:eastAsia="楷体_GB2312"/>
          <w:lang w:val="en-US" w:eastAsia="zh-CN"/>
        </w:rPr>
        <w:t>分析</w:t>
      </w:r>
      <w:bookmarkEnd w:id="257"/>
      <w:bookmarkEnd w:id="258"/>
      <w:bookmarkEnd w:id="259"/>
      <w:bookmarkEnd w:id="260"/>
      <w:bookmarkEnd w:id="261"/>
      <w:bookmarkEnd w:id="262"/>
      <w:bookmarkEnd w:id="263"/>
      <w:bookmarkEnd w:id="264"/>
      <w:bookmarkEnd w:id="265"/>
      <w:bookmarkEnd w:id="266"/>
      <w:bookmarkEnd w:id="267"/>
      <w:bookmarkEnd w:id="268"/>
      <w:bookmarkEnd w:id="269"/>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宋体" w:hAnsi="宋体" w:cs="仿宋_GB2312"/>
          <w:szCs w:val="32"/>
          <w:lang w:val="en-US" w:eastAsia="zh-CN"/>
        </w:rPr>
      </w:pPr>
      <w:r>
        <w:rPr>
          <w:rFonts w:hint="eastAsia" w:ascii="宋体" w:hAnsi="宋体" w:cs="仿宋_GB2312"/>
          <w:szCs w:val="32"/>
          <w:lang w:val="en-US" w:eastAsia="zh-CN"/>
        </w:rPr>
        <w:t>1.将乐县汉宇物流有限公司安全生产主体责任落实不到位，没有辨识“超量卸料（货）过程异常工况、司机违规操作”、“装卸料（货）过程异常工况、司机违规操作”、“劳保防护用品器具的佩戴”等风险辨识内容及相关主要防范措施；</w:t>
      </w:r>
      <w:r>
        <w:rPr>
          <w:rFonts w:hint="eastAsia" w:ascii="宋体" w:hAnsi="宋体" w:eastAsia="仿宋_GB2312"/>
          <w:sz w:val="32"/>
          <w:szCs w:val="32"/>
        </w:rPr>
        <w:t>闽</w:t>
      </w:r>
      <w:r>
        <w:rPr>
          <w:rFonts w:hint="default" w:ascii="Times New Roman" w:hAnsi="Times New Roman" w:eastAsia="仿宋_GB2312"/>
          <w:sz w:val="32"/>
          <w:szCs w:val="32"/>
        </w:rPr>
        <w:t>GB</w:t>
      </w:r>
      <w:r>
        <w:rPr>
          <w:rFonts w:hint="eastAsia" w:ascii="宋体" w:hAnsi="宋体" w:eastAsia="仿宋_GB2312"/>
          <w:sz w:val="32"/>
          <w:szCs w:val="32"/>
        </w:rPr>
        <w:t>8773</w:t>
      </w:r>
      <w:r>
        <w:rPr>
          <w:rFonts w:hint="eastAsia" w:ascii="宋体" w:hAnsi="宋体"/>
          <w:sz w:val="32"/>
          <w:szCs w:val="32"/>
          <w:lang w:eastAsia="zh-CN"/>
        </w:rPr>
        <w:t>（</w:t>
      </w:r>
      <w:r>
        <w:rPr>
          <w:rFonts w:hint="eastAsia" w:ascii="宋体" w:hAnsi="宋体"/>
          <w:sz w:val="32"/>
          <w:szCs w:val="32"/>
          <w:lang w:val="en-US" w:eastAsia="zh-CN"/>
        </w:rPr>
        <w:t>闽</w:t>
      </w:r>
      <w:r>
        <w:rPr>
          <w:rFonts w:hint="default" w:ascii="Times New Roman" w:hAnsi="Times New Roman"/>
          <w:sz w:val="32"/>
          <w:szCs w:val="32"/>
          <w:lang w:val="en-US" w:eastAsia="zh-CN"/>
        </w:rPr>
        <w:t>GG</w:t>
      </w:r>
      <w:r>
        <w:rPr>
          <w:rFonts w:hint="eastAsia" w:ascii="宋体" w:hAnsi="宋体"/>
          <w:sz w:val="32"/>
          <w:szCs w:val="32"/>
          <w:lang w:val="en-US" w:eastAsia="zh-CN"/>
        </w:rPr>
        <w:t>901挂</w:t>
      </w:r>
      <w:r>
        <w:rPr>
          <w:rFonts w:hint="eastAsia" w:ascii="宋体" w:hAnsi="宋体"/>
          <w:sz w:val="32"/>
          <w:szCs w:val="32"/>
          <w:lang w:eastAsia="zh-CN"/>
        </w:rPr>
        <w:t>）</w:t>
      </w:r>
      <w:r>
        <w:rPr>
          <w:rFonts w:hint="eastAsia" w:ascii="宋体" w:hAnsi="宋体"/>
          <w:sz w:val="32"/>
          <w:szCs w:val="32"/>
          <w:lang w:val="en-US" w:eastAsia="zh-CN"/>
        </w:rPr>
        <w:t>重型半挂牵引车缺少警示标识，如罐顶装料口处未粘贴“卸料过程禁止开盖”，车体上未粘贴“车载压缩机安全风险告知牌、职业危害告知卡”等相关警示标识牌；</w:t>
      </w:r>
      <w:r>
        <w:rPr>
          <w:rFonts w:hint="eastAsia" w:ascii="宋体" w:hAnsi="宋体" w:cs="仿宋_GB2312"/>
          <w:szCs w:val="32"/>
          <w:highlight w:val="none"/>
          <w:lang w:val="en-US" w:eastAsia="zh-CN"/>
        </w:rPr>
        <w:t>提供的《水泥罐车安全操作流程》中，缺少“超量卸料（货）操作规程”和“佩戴劳保防护用品器具”的相关内容。</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45" w:firstLineChars="0"/>
        <w:jc w:val="both"/>
        <w:textAlignment w:val="auto"/>
        <w:outlineLvl w:val="9"/>
        <w:rPr>
          <w:rFonts w:hint="eastAsia" w:ascii="宋体" w:hAnsi="宋体" w:cs="仿宋_GB2312"/>
          <w:szCs w:val="32"/>
          <w:lang w:val="en-US" w:eastAsia="zh-CN"/>
        </w:rPr>
      </w:pPr>
      <w:r>
        <w:rPr>
          <w:rFonts w:hint="eastAsia" w:ascii="宋体" w:hAnsi="宋体" w:cs="仿宋_GB2312"/>
          <w:szCs w:val="32"/>
          <w:lang w:val="en-US" w:eastAsia="zh-CN"/>
        </w:rPr>
        <w:t>2.福建凤起供应链管理有限公司未能履行与福建肖厝港物流有限公司签订的《安全协议书》中约定的部分条款，具体未履行的内容包括：第（六）条：甲方必须对进港工作人员进行安全教育、作业安全技术交底，严肃安全纪律，规范安全行为，禁止违反安全操作规程进行操作。第（七）条：甲方应按国家有关规定，为工作人员配备合格的劳保防护用品及安全用具，确保工器具符合安全要求，并督促规范使用安全防护用品。在实际作业过程中，现场工作人员未能督促驾驶员杨*升规范使用安全防护用品（其未正确佩戴安全帽，详见图2），该行为违反了福建凤起供应链管理有限公司制定的《卸货入库的安全操作规程》第二项中关于异常情况卸货回库操作流程的规定：“司机根据指令将车辆停至到位，要求佩戴好相应防护设施后下车……”。</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45" w:firstLineChars="0"/>
        <w:jc w:val="both"/>
        <w:textAlignment w:val="auto"/>
        <w:outlineLvl w:val="9"/>
        <w:rPr>
          <w:rFonts w:hint="default" w:ascii="宋体" w:hAnsi="宋体" w:cs="仿宋_GB2312"/>
          <w:szCs w:val="32"/>
          <w:lang w:val="en-US" w:eastAsia="zh-CN"/>
        </w:rPr>
      </w:pPr>
      <w:r>
        <w:rPr>
          <w:rFonts w:hint="eastAsia" w:ascii="宋体" w:hAnsi="宋体" w:cs="仿宋_GB2312"/>
          <w:szCs w:val="32"/>
          <w:lang w:val="en-US" w:eastAsia="zh-CN"/>
        </w:rPr>
        <w:t>此外，在卸料作业尚未完全结束（卸料管未摘除）的情况下，工作人员提前离场，未能及时制止杨*升的违规操作。该行为同样违反了该公司《卸货入库的安全操作规程》中关于作业结束流程的规定：“完成卸货后司机关闭气泵及阀门即作业结束……严禁在打料过程中司机私自登上车顶，严禁罐体在有压力的情况下打开车装料口的盖子。”同时，经核查，福建凤起供应链管理有限公司所提供的《水泥卸货入库的安全操作规程》本身也存在不足，缺乏针对异常工况处置的具体要求以及对司机安全操作的有效监管内容。</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45" w:firstLineChars="0"/>
        <w:jc w:val="both"/>
        <w:textAlignment w:val="auto"/>
        <w:outlineLvl w:val="9"/>
        <w:rPr>
          <w:rFonts w:hint="default" w:ascii="宋体" w:hAnsi="宋体" w:cs="仿宋_GB2312"/>
          <w:szCs w:val="32"/>
          <w:lang w:val="en-US" w:eastAsia="zh-CN"/>
        </w:rPr>
      </w:pPr>
      <w:r>
        <w:rPr>
          <w:rFonts w:hint="eastAsia" w:ascii="宋体" w:hAnsi="宋体" w:cs="仿宋_GB2312"/>
          <w:sz w:val="32"/>
          <w:szCs w:val="32"/>
          <w:lang w:val="en-US" w:eastAsia="zh-CN"/>
        </w:rPr>
        <w:t>3</w:t>
      </w:r>
      <w:r>
        <w:rPr>
          <w:rFonts w:hint="eastAsia" w:ascii="宋体" w:hAnsi="宋体" w:cs="仿宋_GB2312"/>
          <w:szCs w:val="32"/>
          <w:lang w:val="en-US" w:eastAsia="zh-CN"/>
        </w:rPr>
        <w:t>.</w:t>
      </w:r>
      <w:r>
        <w:rPr>
          <w:rFonts w:hint="eastAsia" w:ascii="宋体" w:hAnsi="宋体" w:cs="仿宋_GB2312"/>
          <w:kern w:val="0"/>
          <w:sz w:val="32"/>
          <w:szCs w:val="32"/>
          <w:lang w:val="en-US" w:eastAsia="zh-CN"/>
        </w:rPr>
        <w:t>将乐县城建和交通局</w:t>
      </w:r>
      <w:r>
        <w:rPr>
          <w:rFonts w:hint="eastAsia" w:ascii="宋体" w:hAnsi="宋体" w:cs="仿宋_GB2312"/>
          <w:szCs w:val="32"/>
          <w:lang w:val="en-US" w:eastAsia="zh-CN"/>
        </w:rPr>
        <w:t>监管责任落实不到位，日常监管中未能发现将乐县汉宇物流有限公司存在风险辨识不到位、安全生产规章制度和操作规程制定不到位等问题。</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46" w:firstLineChars="0"/>
        <w:jc w:val="both"/>
        <w:textAlignment w:val="auto"/>
        <w:outlineLvl w:val="9"/>
        <w:rPr>
          <w:rFonts w:hint="eastAsia" w:ascii="宋体" w:hAnsi="宋体" w:cs="仿宋_GB2312"/>
          <w:szCs w:val="32"/>
          <w:lang w:val="en-US" w:eastAsia="zh-CN"/>
        </w:rPr>
      </w:pPr>
      <w:r>
        <w:rPr>
          <w:rFonts w:hint="eastAsia" w:ascii="宋体" w:hAnsi="宋体" w:cs="仿宋_GB2312"/>
          <w:szCs w:val="32"/>
          <w:lang w:val="en-US" w:eastAsia="zh-CN"/>
        </w:rPr>
        <w:t>4.南埔镇人民政府属地监管责任落实不到位，安全生产监督检查职责落实不到位，对企业摸排不到位，</w:t>
      </w:r>
      <w:r>
        <w:rPr>
          <w:rFonts w:hint="eastAsia" w:ascii="宋体" w:hAnsi="宋体" w:eastAsia="仿宋_GB2312" w:cs="仿宋_GB2312"/>
          <w:b w:val="0"/>
          <w:bCs w:val="0"/>
          <w:sz w:val="32"/>
          <w:szCs w:val="32"/>
          <w:lang w:val="en-US" w:eastAsia="zh-CN"/>
        </w:rPr>
        <w:t>未能将福建凤起供应链管理有限公司纳入检查</w:t>
      </w:r>
      <w:r>
        <w:rPr>
          <w:rFonts w:hint="eastAsia" w:ascii="宋体" w:hAnsi="宋体" w:cs="仿宋_GB2312"/>
          <w:b w:val="0"/>
          <w:bCs w:val="0"/>
          <w:sz w:val="32"/>
          <w:szCs w:val="32"/>
          <w:lang w:val="en-US" w:eastAsia="zh-CN"/>
        </w:rPr>
        <w:t>范畴</w:t>
      </w:r>
      <w:r>
        <w:rPr>
          <w:rFonts w:hint="eastAsia" w:ascii="宋体" w:hAnsi="宋体" w:cs="仿宋_GB2312"/>
          <w:szCs w:val="32"/>
          <w:lang w:val="en-US" w:eastAsia="zh-CN"/>
        </w:rPr>
        <w:t>。</w:t>
      </w:r>
    </w:p>
    <w:p>
      <w:pPr>
        <w:pStyle w:val="3"/>
        <w:keepNext w:val="0"/>
        <w:keepLines w:val="0"/>
      </w:pPr>
      <w:bookmarkStart w:id="270" w:name="_Toc385"/>
      <w:bookmarkStart w:id="271" w:name="_Toc20353"/>
      <w:bookmarkStart w:id="272" w:name="_Toc29072"/>
      <w:bookmarkStart w:id="273" w:name="_Toc30161"/>
      <w:bookmarkStart w:id="274" w:name="_Toc13023"/>
      <w:bookmarkStart w:id="275" w:name="_Toc17959"/>
      <w:bookmarkStart w:id="276" w:name="_Toc17307"/>
      <w:bookmarkStart w:id="277" w:name="_Toc12141"/>
      <w:bookmarkStart w:id="278" w:name="_Toc30465"/>
      <w:bookmarkStart w:id="279" w:name="_Toc935"/>
      <w:bookmarkStart w:id="280" w:name="_Toc19890"/>
      <w:bookmarkStart w:id="281" w:name="_Toc2437"/>
      <w:bookmarkStart w:id="282" w:name="_Toc9069"/>
      <w:bookmarkStart w:id="283" w:name="_Toc12366"/>
      <w:bookmarkStart w:id="284" w:name="_Toc15952"/>
      <w:bookmarkStart w:id="285" w:name="_Toc11156"/>
      <w:r>
        <w:rPr>
          <w:rFonts w:hint="eastAsia"/>
          <w:lang w:val="en-US" w:eastAsia="zh-CN"/>
        </w:rPr>
        <w:t>四</w:t>
      </w:r>
      <w:r>
        <w:rPr>
          <w:rFonts w:hint="eastAsia"/>
        </w:rPr>
        <w:t>、事故责任的认定以及对事故责任者的处理建议</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pPr>
        <w:pStyle w:val="4"/>
        <w:keepLines w:val="0"/>
        <w:rPr>
          <w:rFonts w:hint="eastAsia" w:ascii="Calibri" w:hAnsi="Calibri" w:eastAsia="楷体_GB2312" w:cs="Times New Roman"/>
          <w:b/>
          <w:bCs w:val="0"/>
          <w:szCs w:val="22"/>
          <w:lang w:val="en-US" w:eastAsia="zh-CN"/>
        </w:rPr>
      </w:pPr>
      <w:bookmarkStart w:id="286" w:name="_Toc3059"/>
      <w:bookmarkStart w:id="287" w:name="_Toc29295"/>
      <w:bookmarkStart w:id="288" w:name="_Toc29007"/>
      <w:bookmarkStart w:id="289" w:name="_Toc12699"/>
      <w:bookmarkStart w:id="290" w:name="_Toc11335"/>
      <w:bookmarkStart w:id="291" w:name="_Toc74"/>
      <w:bookmarkStart w:id="292" w:name="_Toc13198"/>
      <w:bookmarkStart w:id="293" w:name="_Toc8473"/>
      <w:bookmarkStart w:id="294" w:name="_Toc5369"/>
      <w:bookmarkStart w:id="295" w:name="_Toc28450"/>
      <w:bookmarkStart w:id="296" w:name="_Toc31102"/>
      <w:r>
        <w:rPr>
          <w:rFonts w:hint="eastAsia" w:ascii="Calibri" w:hAnsi="Calibri" w:eastAsia="楷体_GB2312" w:cs="Times New Roman"/>
          <w:b/>
          <w:bCs w:val="0"/>
          <w:szCs w:val="22"/>
        </w:rPr>
        <w:t>（一）</w:t>
      </w:r>
      <w:r>
        <w:rPr>
          <w:rFonts w:hint="eastAsia" w:ascii="Calibri" w:hAnsi="Calibri" w:eastAsia="楷体_GB2312" w:cs="Times New Roman"/>
          <w:b/>
          <w:bCs w:val="0"/>
          <w:szCs w:val="22"/>
          <w:lang w:val="en-US" w:eastAsia="zh-CN"/>
        </w:rPr>
        <w:t>免于追究责任人员</w:t>
      </w:r>
      <w:bookmarkEnd w:id="286"/>
      <w:bookmarkEnd w:id="287"/>
      <w:bookmarkEnd w:id="288"/>
      <w:bookmarkEnd w:id="289"/>
      <w:bookmarkEnd w:id="290"/>
      <w:bookmarkEnd w:id="291"/>
      <w:bookmarkEnd w:id="292"/>
      <w:bookmarkEnd w:id="293"/>
      <w:bookmarkEnd w:id="294"/>
      <w:bookmarkEnd w:id="295"/>
      <w:bookmarkEnd w:id="296"/>
    </w:p>
    <w:p>
      <w:pPr>
        <w:keepLines w:val="0"/>
        <w:spacing w:line="560" w:lineRule="exact"/>
        <w:ind w:firstLine="645"/>
        <w:rPr>
          <w:rFonts w:hint="eastAsia" w:ascii="宋体" w:hAnsi="宋体"/>
          <w:sz w:val="32"/>
          <w:szCs w:val="32"/>
          <w:lang w:val="en-US" w:eastAsia="zh-CN"/>
        </w:rPr>
      </w:pPr>
      <w:r>
        <w:rPr>
          <w:rFonts w:hint="eastAsia" w:ascii="宋体" w:hAnsi="宋体" w:cs="仿宋_GB2312"/>
          <w:szCs w:val="32"/>
          <w:lang w:val="en-US" w:eastAsia="zh-CN"/>
        </w:rPr>
        <w:t>杨*升，男，将乐县汉宇物流有限公司驾驶员。经查，杨*升作为</w:t>
      </w:r>
      <w:r>
        <w:rPr>
          <w:rFonts w:hint="eastAsia" w:ascii="宋体" w:hAnsi="宋体" w:eastAsia="仿宋_GB2312"/>
          <w:sz w:val="32"/>
          <w:szCs w:val="32"/>
        </w:rPr>
        <w:t>闽</w:t>
      </w:r>
      <w:r>
        <w:rPr>
          <w:rFonts w:hint="default" w:ascii="Times New Roman" w:hAnsi="Times New Roman" w:eastAsia="仿宋_GB2312"/>
          <w:sz w:val="32"/>
          <w:szCs w:val="32"/>
        </w:rPr>
        <w:t>GB</w:t>
      </w:r>
      <w:r>
        <w:rPr>
          <w:rFonts w:hint="eastAsia" w:ascii="宋体" w:hAnsi="宋体" w:eastAsia="仿宋_GB2312"/>
          <w:sz w:val="32"/>
          <w:szCs w:val="32"/>
        </w:rPr>
        <w:t>8773</w:t>
      </w:r>
      <w:r>
        <w:rPr>
          <w:rFonts w:hint="eastAsia" w:ascii="宋体" w:hAnsi="宋体"/>
          <w:sz w:val="32"/>
          <w:szCs w:val="32"/>
          <w:lang w:eastAsia="zh-CN"/>
        </w:rPr>
        <w:t>（</w:t>
      </w:r>
      <w:r>
        <w:rPr>
          <w:rFonts w:hint="eastAsia" w:ascii="宋体" w:hAnsi="宋体"/>
          <w:sz w:val="32"/>
          <w:szCs w:val="32"/>
          <w:lang w:val="en-US" w:eastAsia="zh-CN"/>
        </w:rPr>
        <w:t>闽</w:t>
      </w:r>
      <w:r>
        <w:rPr>
          <w:rFonts w:hint="default" w:ascii="Times New Roman" w:hAnsi="Times New Roman"/>
          <w:sz w:val="32"/>
          <w:szCs w:val="32"/>
          <w:lang w:val="en-US" w:eastAsia="zh-CN"/>
        </w:rPr>
        <w:t>GG</w:t>
      </w:r>
      <w:r>
        <w:rPr>
          <w:rFonts w:hint="eastAsia" w:ascii="宋体" w:hAnsi="宋体"/>
          <w:sz w:val="32"/>
          <w:szCs w:val="32"/>
          <w:lang w:val="en-US" w:eastAsia="zh-CN"/>
        </w:rPr>
        <w:t>901挂</w:t>
      </w:r>
      <w:r>
        <w:rPr>
          <w:rFonts w:hint="eastAsia" w:ascii="宋体" w:hAnsi="宋体"/>
          <w:sz w:val="32"/>
          <w:szCs w:val="32"/>
          <w:lang w:eastAsia="zh-CN"/>
        </w:rPr>
        <w:t>）</w:t>
      </w:r>
      <w:r>
        <w:rPr>
          <w:rFonts w:hint="eastAsia" w:ascii="宋体" w:hAnsi="宋体"/>
          <w:sz w:val="32"/>
          <w:szCs w:val="32"/>
          <w:lang w:val="en-US" w:eastAsia="zh-CN"/>
        </w:rPr>
        <w:t>重型半挂牵引车驾驶员，在卸料过程中安全意识淡薄，未按操作规程进行作业，违规上车罐顶且未系安全带，最终导致事故的发生，对事故的发生负有直接责任。鉴于其已在事故中死亡，免于追究其责任。</w:t>
      </w:r>
    </w:p>
    <w:p>
      <w:pPr>
        <w:pStyle w:val="4"/>
        <w:keepLines w:val="0"/>
        <w:rPr>
          <w:rFonts w:hint="eastAsia" w:ascii="Calibri" w:hAnsi="Calibri" w:eastAsia="楷体_GB2312" w:cs="Times New Roman"/>
          <w:b/>
          <w:bCs w:val="0"/>
          <w:szCs w:val="22"/>
        </w:rPr>
      </w:pPr>
      <w:bookmarkStart w:id="297" w:name="_Toc12326"/>
      <w:bookmarkStart w:id="298" w:name="_Toc15150"/>
      <w:bookmarkStart w:id="299" w:name="_Toc18323"/>
      <w:bookmarkStart w:id="300" w:name="_Toc2877"/>
      <w:bookmarkStart w:id="301" w:name="_Toc31337"/>
      <w:bookmarkStart w:id="302" w:name="_Toc13461"/>
      <w:bookmarkStart w:id="303" w:name="_Toc32579"/>
      <w:bookmarkStart w:id="304" w:name="_Toc6050"/>
      <w:bookmarkStart w:id="305" w:name="_Toc15366"/>
      <w:bookmarkStart w:id="306" w:name="_Toc29053"/>
      <w:bookmarkStart w:id="307" w:name="_Toc14750"/>
      <w:r>
        <w:rPr>
          <w:rFonts w:hint="eastAsia" w:ascii="Calibri" w:hAnsi="Calibri" w:eastAsia="楷体_GB2312" w:cs="Times New Roman"/>
          <w:b/>
          <w:bCs w:val="0"/>
          <w:szCs w:val="22"/>
        </w:rPr>
        <w:t>（</w:t>
      </w:r>
      <w:r>
        <w:rPr>
          <w:rFonts w:hint="eastAsia" w:ascii="Calibri" w:hAnsi="Calibri" w:eastAsia="楷体_GB2312" w:cs="Times New Roman"/>
          <w:b/>
          <w:bCs w:val="0"/>
          <w:szCs w:val="22"/>
          <w:lang w:val="en-US" w:eastAsia="zh-CN"/>
        </w:rPr>
        <w:t>二</w:t>
      </w:r>
      <w:r>
        <w:rPr>
          <w:rFonts w:hint="eastAsia" w:ascii="Calibri" w:hAnsi="Calibri" w:eastAsia="楷体_GB2312" w:cs="Times New Roman"/>
          <w:b/>
          <w:bCs w:val="0"/>
          <w:szCs w:val="22"/>
        </w:rPr>
        <w:t>）对</w:t>
      </w:r>
      <w:r>
        <w:rPr>
          <w:rFonts w:hint="eastAsia" w:ascii="Calibri" w:hAnsi="Calibri" w:eastAsia="楷体_GB2312" w:cs="Times New Roman"/>
          <w:b/>
          <w:bCs w:val="0"/>
          <w:szCs w:val="22"/>
          <w:lang w:val="en-US" w:eastAsia="zh-CN"/>
        </w:rPr>
        <w:t>有关公职</w:t>
      </w:r>
      <w:r>
        <w:rPr>
          <w:rFonts w:hint="eastAsia" w:ascii="Calibri" w:hAnsi="Calibri" w:eastAsia="楷体_GB2312" w:cs="Times New Roman"/>
          <w:b/>
          <w:bCs w:val="0"/>
          <w:szCs w:val="22"/>
        </w:rPr>
        <w:t>人员的处理建议</w:t>
      </w:r>
      <w:bookmarkEnd w:id="297"/>
      <w:bookmarkEnd w:id="298"/>
      <w:bookmarkEnd w:id="299"/>
    </w:p>
    <w:p>
      <w:pPr>
        <w:keepLines w:val="0"/>
        <w:spacing w:line="580" w:lineRule="exact"/>
        <w:ind w:firstLine="640" w:firstLineChars="200"/>
        <w:rPr>
          <w:rFonts w:hint="default" w:ascii="宋体" w:hAnsi="宋体" w:eastAsia="仿宋_GB2312" w:cs="仿宋_GB2312"/>
          <w:b w:val="0"/>
          <w:bCs w:val="0"/>
          <w:szCs w:val="32"/>
        </w:rPr>
      </w:pPr>
      <w:r>
        <w:rPr>
          <w:rFonts w:hint="eastAsia" w:ascii="宋体" w:hAnsi="宋体" w:eastAsia="仿宋_GB2312" w:cs="仿宋_GB2312"/>
          <w:b w:val="0"/>
          <w:bCs w:val="0"/>
          <w:szCs w:val="32"/>
        </w:rPr>
        <w:t>林</w:t>
      </w:r>
      <w:r>
        <w:rPr>
          <w:rFonts w:hint="eastAsia" w:ascii="宋体" w:hAnsi="宋体" w:cs="仿宋_GB2312"/>
          <w:b w:val="0"/>
          <w:bCs w:val="0"/>
          <w:szCs w:val="32"/>
          <w:lang w:eastAsia="zh-CN"/>
        </w:rPr>
        <w:t>*</w:t>
      </w:r>
      <w:r>
        <w:rPr>
          <w:rFonts w:hint="eastAsia" w:ascii="宋体" w:hAnsi="宋体" w:eastAsia="仿宋_GB2312" w:cs="仿宋_GB2312"/>
          <w:b w:val="0"/>
          <w:bCs w:val="0"/>
          <w:szCs w:val="32"/>
        </w:rPr>
        <w:t>凤，</w:t>
      </w:r>
      <w:r>
        <w:rPr>
          <w:rFonts w:hint="eastAsia" w:ascii="宋体" w:hAnsi="宋体" w:cs="仿宋_GB2312"/>
          <w:b w:val="0"/>
          <w:bCs w:val="0"/>
          <w:szCs w:val="32"/>
          <w:lang w:val="en-US" w:eastAsia="zh-CN"/>
        </w:rPr>
        <w:t>男，</w:t>
      </w:r>
      <w:r>
        <w:rPr>
          <w:rFonts w:hint="eastAsia" w:ascii="宋体" w:hAnsi="宋体" w:eastAsia="仿宋_GB2312" w:cs="仿宋_GB2312"/>
          <w:b w:val="0"/>
          <w:bCs w:val="0"/>
          <w:szCs w:val="32"/>
        </w:rPr>
        <w:t>泉港区南埔镇</w:t>
      </w:r>
      <w:r>
        <w:rPr>
          <w:rFonts w:hint="eastAsia" w:ascii="宋体" w:hAnsi="宋体" w:cs="仿宋_GB2312"/>
          <w:b w:val="0"/>
          <w:bCs w:val="0"/>
          <w:szCs w:val="32"/>
          <w:lang w:val="en-US" w:eastAsia="zh-CN"/>
        </w:rPr>
        <w:t>人民</w:t>
      </w:r>
      <w:r>
        <w:rPr>
          <w:rFonts w:hint="eastAsia" w:ascii="宋体" w:hAnsi="宋体" w:eastAsia="仿宋_GB2312" w:cs="仿宋_GB2312"/>
          <w:b w:val="0"/>
          <w:bCs w:val="0"/>
          <w:szCs w:val="32"/>
        </w:rPr>
        <w:t>政府综合治理办公室（应急办）工作人员</w:t>
      </w:r>
      <w:r>
        <w:rPr>
          <w:rFonts w:hint="eastAsia" w:ascii="宋体" w:hAnsi="宋体" w:cs="仿宋_GB2312"/>
          <w:b w:val="0"/>
          <w:bCs w:val="0"/>
          <w:szCs w:val="32"/>
          <w:lang w:eastAsia="zh-CN"/>
        </w:rPr>
        <w:t>，</w:t>
      </w:r>
      <w:r>
        <w:rPr>
          <w:rFonts w:hint="eastAsia" w:ascii="宋体" w:hAnsi="宋体" w:cs="仿宋_GB2312"/>
          <w:b w:val="0"/>
          <w:bCs w:val="0"/>
          <w:szCs w:val="32"/>
          <w:lang w:val="en-US" w:eastAsia="zh-CN"/>
        </w:rPr>
        <w:t>协助开展辖区企业的安全监督管理工作，</w:t>
      </w:r>
      <w:r>
        <w:rPr>
          <w:rFonts w:hint="eastAsia" w:ascii="宋体" w:hAnsi="宋体" w:cs="仿宋_GB2312"/>
          <w:szCs w:val="32"/>
          <w:lang w:val="en-US" w:eastAsia="zh-CN"/>
        </w:rPr>
        <w:t>对企业摸排不到位，</w:t>
      </w:r>
      <w:r>
        <w:rPr>
          <w:rFonts w:hint="eastAsia" w:ascii="宋体" w:hAnsi="宋体" w:eastAsia="仿宋_GB2312" w:cs="仿宋_GB2312"/>
          <w:b w:val="0"/>
          <w:bCs w:val="0"/>
          <w:sz w:val="32"/>
          <w:szCs w:val="32"/>
          <w:lang w:val="en-US" w:eastAsia="zh-CN"/>
        </w:rPr>
        <w:t>未能将福建凤起供应链管理有限公司纳入检查</w:t>
      </w:r>
      <w:r>
        <w:rPr>
          <w:rFonts w:hint="eastAsia" w:ascii="宋体" w:hAnsi="宋体" w:cs="仿宋_GB2312"/>
          <w:b w:val="0"/>
          <w:bCs w:val="0"/>
          <w:sz w:val="32"/>
          <w:szCs w:val="32"/>
          <w:lang w:val="en-US" w:eastAsia="zh-CN"/>
        </w:rPr>
        <w:t>范畴。建议由泉港区南埔镇人民政府予以谈话提醒。</w:t>
      </w:r>
    </w:p>
    <w:p>
      <w:pPr>
        <w:pStyle w:val="4"/>
        <w:keepLines w:val="0"/>
        <w:rPr>
          <w:rFonts w:hint="eastAsia" w:ascii="Calibri" w:hAnsi="Calibri" w:eastAsia="楷体_GB2312" w:cs="Times New Roman"/>
          <w:b/>
          <w:bCs w:val="0"/>
          <w:szCs w:val="22"/>
        </w:rPr>
      </w:pPr>
      <w:bookmarkStart w:id="308" w:name="_Toc20374"/>
      <w:bookmarkStart w:id="309" w:name="_Toc18752"/>
      <w:bookmarkStart w:id="310" w:name="_Toc3763"/>
      <w:r>
        <w:rPr>
          <w:rFonts w:hint="eastAsia" w:ascii="Calibri" w:hAnsi="Calibri" w:eastAsia="楷体_GB2312" w:cs="Times New Roman"/>
          <w:b/>
          <w:bCs w:val="0"/>
          <w:szCs w:val="22"/>
        </w:rPr>
        <w:t>（</w:t>
      </w:r>
      <w:r>
        <w:rPr>
          <w:rFonts w:hint="eastAsia" w:ascii="Calibri" w:hAnsi="Calibri" w:eastAsia="楷体_GB2312" w:cs="Times New Roman"/>
          <w:b/>
          <w:bCs w:val="0"/>
          <w:szCs w:val="22"/>
          <w:lang w:val="en-US" w:eastAsia="zh-CN"/>
        </w:rPr>
        <w:t>三</w:t>
      </w:r>
      <w:r>
        <w:rPr>
          <w:rFonts w:hint="eastAsia" w:ascii="Calibri" w:hAnsi="Calibri" w:eastAsia="楷体_GB2312" w:cs="Times New Roman"/>
          <w:b/>
          <w:bCs w:val="0"/>
          <w:szCs w:val="22"/>
        </w:rPr>
        <w:t>）对企业相关人员的处理建议</w:t>
      </w:r>
      <w:bookmarkEnd w:id="300"/>
      <w:bookmarkEnd w:id="301"/>
      <w:bookmarkEnd w:id="302"/>
      <w:bookmarkEnd w:id="303"/>
      <w:bookmarkEnd w:id="304"/>
      <w:bookmarkEnd w:id="305"/>
      <w:bookmarkEnd w:id="306"/>
      <w:bookmarkEnd w:id="307"/>
      <w:bookmarkEnd w:id="308"/>
      <w:bookmarkEnd w:id="309"/>
      <w:bookmarkEnd w:id="310"/>
    </w:p>
    <w:p>
      <w:pPr>
        <w:keepLines w:val="0"/>
        <w:spacing w:line="560" w:lineRule="exact"/>
        <w:ind w:firstLine="645"/>
        <w:rPr>
          <w:rFonts w:hint="default" w:ascii="宋体" w:hAnsi="宋体"/>
          <w:szCs w:val="32"/>
        </w:rPr>
      </w:pPr>
      <w:r>
        <w:rPr>
          <w:rFonts w:hint="eastAsia" w:ascii="宋体" w:hAnsi="宋体" w:eastAsia="仿宋_GB2312"/>
          <w:sz w:val="32"/>
          <w:szCs w:val="32"/>
          <w:u w:val="none"/>
          <w:lang w:eastAsia="zh-CN"/>
        </w:rPr>
        <w:t>林</w:t>
      </w:r>
      <w:r>
        <w:rPr>
          <w:rFonts w:hint="eastAsia" w:ascii="宋体" w:hAnsi="宋体"/>
          <w:sz w:val="32"/>
          <w:szCs w:val="32"/>
          <w:u w:val="none"/>
          <w:lang w:val="en-US" w:eastAsia="zh-CN"/>
        </w:rPr>
        <w:t>*</w:t>
      </w:r>
      <w:r>
        <w:rPr>
          <w:rFonts w:hint="eastAsia" w:ascii="宋体" w:hAnsi="宋体" w:eastAsia="仿宋_GB2312"/>
          <w:sz w:val="32"/>
          <w:szCs w:val="32"/>
          <w:u w:val="none"/>
          <w:lang w:eastAsia="zh-CN"/>
        </w:rPr>
        <w:t>宇</w:t>
      </w:r>
      <w:r>
        <w:rPr>
          <w:rFonts w:hint="eastAsia" w:ascii="宋体" w:hAnsi="宋体"/>
          <w:sz w:val="32"/>
          <w:szCs w:val="32"/>
          <w:u w:val="none"/>
          <w:lang w:eastAsia="zh-CN"/>
        </w:rPr>
        <w:t>，</w:t>
      </w:r>
      <w:r>
        <w:rPr>
          <w:rFonts w:hint="eastAsia" w:ascii="宋体" w:hAnsi="宋体"/>
          <w:sz w:val="32"/>
          <w:szCs w:val="32"/>
          <w:u w:val="none"/>
          <w:lang w:val="en-US" w:eastAsia="zh-CN"/>
        </w:rPr>
        <w:t>男，</w:t>
      </w:r>
      <w:r>
        <w:rPr>
          <w:rFonts w:hint="eastAsia" w:ascii="宋体" w:hAnsi="宋体" w:cs="仿宋_GB2312"/>
          <w:szCs w:val="32"/>
          <w:lang w:val="en-US" w:eastAsia="zh-CN"/>
        </w:rPr>
        <w:t>将乐县汉宇物流有限公司实际控制人，负责对公司驾驶员安全教育，日常企业管理等，对公司规章制度应急预案等进行审批，2021年3月起任公司主要负责人。经查，林新宇作为将乐县汉宇物流有限公司主要负责人对本单位的安全生产规章制度和操作规程的编制内容不具体不完善，如：“超量卸料（货）操作规程”和“佩戴劳保防护用品器具”的相关内容，未能辨识“超量卸料（货）过程异常工况、司机违规操作”、“装卸料（货）过程异常工况、司机违规操作”、“劳保防护用品器具的佩戴”等风险辨识内容及相关主要防范措施，违反了</w:t>
      </w:r>
      <w:r>
        <w:rPr>
          <w:rFonts w:hint="eastAsia" w:ascii="宋体" w:hAnsi="宋体" w:cs="仿宋_GB2312"/>
          <w:color w:val="auto"/>
          <w:kern w:val="0"/>
          <w:sz w:val="32"/>
          <w:szCs w:val="32"/>
          <w:lang w:val="en-US" w:eastAsia="zh-CN"/>
        </w:rPr>
        <w:t>《中华人民共和国安全生产法》第二十一条第二项，对事故的发生负有重要责任，依据《中华人民共和国安全生产法》第九十五条第一项的规定，建议由区应急局对其予以行政处罚。</w:t>
      </w:r>
    </w:p>
    <w:p>
      <w:pPr>
        <w:pStyle w:val="4"/>
        <w:keepLines w:val="0"/>
        <w:rPr>
          <w:rFonts w:hint="eastAsia" w:ascii="Calibri" w:hAnsi="Calibri" w:eastAsia="楷体_GB2312" w:cs="Times New Roman"/>
          <w:b/>
          <w:bCs w:val="0"/>
          <w:szCs w:val="22"/>
        </w:rPr>
      </w:pPr>
      <w:bookmarkStart w:id="311" w:name="_Toc6340"/>
      <w:bookmarkStart w:id="312" w:name="_Toc19389"/>
      <w:bookmarkStart w:id="313" w:name="_Toc6173"/>
      <w:bookmarkStart w:id="314" w:name="_Toc4187"/>
      <w:bookmarkStart w:id="315" w:name="_Toc13691"/>
      <w:bookmarkStart w:id="316" w:name="_Toc23855"/>
      <w:bookmarkStart w:id="317" w:name="_Toc19427"/>
      <w:bookmarkStart w:id="318" w:name="_Toc24567"/>
      <w:bookmarkStart w:id="319" w:name="_Toc27714"/>
      <w:bookmarkStart w:id="320" w:name="_Toc6107"/>
      <w:bookmarkStart w:id="321" w:name="_Toc20535"/>
      <w:r>
        <w:rPr>
          <w:rFonts w:hint="eastAsia" w:ascii="Calibri" w:hAnsi="Calibri" w:eastAsia="楷体_GB2312" w:cs="Times New Roman"/>
          <w:b/>
          <w:bCs w:val="0"/>
          <w:kern w:val="2"/>
          <w:sz w:val="32"/>
          <w:szCs w:val="22"/>
          <w:lang w:val="en-US" w:eastAsia="zh-CN" w:bidi="ar-SA"/>
        </w:rPr>
        <w:t>（四）</w:t>
      </w:r>
      <w:r>
        <w:rPr>
          <w:rFonts w:hint="eastAsia" w:ascii="Calibri" w:hAnsi="Calibri" w:eastAsia="楷体_GB2312" w:cs="Times New Roman"/>
          <w:b/>
          <w:bCs w:val="0"/>
          <w:szCs w:val="22"/>
        </w:rPr>
        <w:t>对事故发生单位的行政处罚建议</w:t>
      </w:r>
      <w:bookmarkEnd w:id="311"/>
      <w:bookmarkEnd w:id="312"/>
      <w:bookmarkEnd w:id="313"/>
      <w:bookmarkEnd w:id="314"/>
      <w:bookmarkEnd w:id="315"/>
      <w:bookmarkEnd w:id="316"/>
      <w:bookmarkEnd w:id="317"/>
      <w:bookmarkEnd w:id="318"/>
      <w:bookmarkEnd w:id="319"/>
      <w:bookmarkEnd w:id="320"/>
      <w:bookmarkEnd w:id="321"/>
    </w:p>
    <w:p>
      <w:pPr>
        <w:keepLines w:val="0"/>
        <w:spacing w:line="560" w:lineRule="exact"/>
        <w:ind w:firstLine="645"/>
        <w:rPr>
          <w:rFonts w:hint="default" w:ascii="宋体" w:hAnsi="宋体"/>
          <w:lang w:val="en-US"/>
        </w:rPr>
      </w:pPr>
      <w:r>
        <w:rPr>
          <w:rFonts w:hint="eastAsia" w:ascii="宋体" w:hAnsi="宋体" w:cs="仿宋_GB2312"/>
          <w:color w:val="auto"/>
          <w:kern w:val="0"/>
          <w:sz w:val="32"/>
          <w:szCs w:val="32"/>
          <w:lang w:val="en-US" w:eastAsia="zh-CN"/>
        </w:rPr>
        <w:t>将乐县汉宇物流有限公司违反了《中华人民共和国安全生产法》第二十一条第二项、第三十五条、第四十八条的规定，对事故的发生负有重要责任，根据《中华人民共和国安全生产法》第一百一十四条第一项的规定，建议由区应急局对其予以行政处罚。</w:t>
      </w:r>
    </w:p>
    <w:p>
      <w:pPr>
        <w:pStyle w:val="5"/>
        <w:keepNext w:val="0"/>
        <w:keepLines w:val="0"/>
        <w:ind w:firstLineChars="200"/>
        <w:rPr>
          <w:rFonts w:hint="eastAsia" w:ascii="宋体" w:hAnsi="宋体" w:eastAsia="楷体_GB2312" w:cs="Times New Roman"/>
          <w:b/>
          <w:bCs w:val="0"/>
          <w:szCs w:val="22"/>
        </w:rPr>
      </w:pPr>
      <w:bookmarkStart w:id="322" w:name="_Toc26627"/>
      <w:r>
        <w:rPr>
          <w:rFonts w:hint="eastAsia" w:ascii="宋体" w:hAnsi="宋体" w:eastAsia="楷体_GB2312" w:cs="Times New Roman"/>
          <w:b/>
          <w:bCs w:val="0"/>
          <w:szCs w:val="22"/>
        </w:rPr>
        <w:t>（</w:t>
      </w:r>
      <w:r>
        <w:rPr>
          <w:rFonts w:hint="eastAsia" w:ascii="宋体" w:hAnsi="宋体" w:cs="Times New Roman"/>
          <w:b/>
          <w:bCs w:val="0"/>
          <w:szCs w:val="22"/>
          <w:lang w:val="en-US" w:eastAsia="zh-CN"/>
        </w:rPr>
        <w:t>五</w:t>
      </w:r>
      <w:r>
        <w:rPr>
          <w:rFonts w:hint="eastAsia" w:ascii="宋体" w:hAnsi="宋体" w:eastAsia="楷体_GB2312" w:cs="Times New Roman"/>
          <w:b/>
          <w:bCs w:val="0"/>
          <w:szCs w:val="22"/>
        </w:rPr>
        <w:t>）对相关单位的处理建议</w:t>
      </w:r>
      <w:bookmarkEnd w:id="322"/>
    </w:p>
    <w:p>
      <w:pPr>
        <w:keepLines w:val="0"/>
        <w:spacing w:line="560" w:lineRule="exact"/>
        <w:ind w:firstLine="645"/>
        <w:rPr>
          <w:rFonts w:hint="eastAsia" w:ascii="仿宋_GB2312" w:hAnsi="仿宋_GB2312" w:cs="仿宋_GB2312"/>
          <w:color w:val="auto"/>
          <w:kern w:val="0"/>
          <w:sz w:val="32"/>
          <w:szCs w:val="32"/>
          <w:highlight w:val="none"/>
          <w:lang w:val="en-US" w:eastAsia="zh-CN"/>
        </w:rPr>
      </w:pPr>
      <w:r>
        <w:rPr>
          <w:rFonts w:hint="eastAsia" w:ascii="宋体" w:hAnsi="宋体" w:eastAsia="仿宋_GB2312" w:cs="仿宋_GB2312"/>
          <w:b w:val="0"/>
          <w:bCs w:val="0"/>
          <w:szCs w:val="32"/>
          <w:highlight w:val="none"/>
          <w:lang w:val="en-US" w:eastAsia="zh-CN"/>
        </w:rPr>
        <w:t>1.</w:t>
      </w:r>
      <w:r>
        <w:rPr>
          <w:rFonts w:hint="eastAsia" w:ascii="仿宋_GB2312" w:hAnsi="仿宋_GB2312" w:cs="仿宋_GB2312"/>
          <w:color w:val="auto"/>
          <w:kern w:val="0"/>
          <w:sz w:val="32"/>
          <w:szCs w:val="32"/>
          <w:highlight w:val="none"/>
          <w:lang w:val="en-US" w:eastAsia="zh-CN"/>
        </w:rPr>
        <w:t>福建凤起供应链管理有限公司，违反了《中华人民共和国安全生产法》第四十四条、四十五条的规定，对事故的发生负有责任，根据《中华人民共和国安全生产法》第一百一十四条第一项的规定，建议由区应急局对其予以行政处罚。</w:t>
      </w:r>
    </w:p>
    <w:p>
      <w:pPr>
        <w:keepLines w:val="0"/>
        <w:spacing w:line="560" w:lineRule="exact"/>
        <w:ind w:firstLine="645"/>
        <w:rPr>
          <w:rFonts w:hint="eastAsia" w:ascii="宋体" w:hAnsi="宋体" w:cs="仿宋_GB2312"/>
          <w:color w:val="auto"/>
          <w:kern w:val="0"/>
          <w:szCs w:val="32"/>
          <w:lang w:val="en-US" w:eastAsia="zh-CN"/>
        </w:rPr>
      </w:pPr>
      <w:r>
        <w:rPr>
          <w:rFonts w:hint="eastAsia" w:ascii="宋体" w:hAnsi="宋体" w:cs="仿宋_GB2312"/>
          <w:color w:val="auto"/>
          <w:kern w:val="0"/>
          <w:sz w:val="32"/>
          <w:szCs w:val="32"/>
          <w:lang w:val="en-US" w:eastAsia="zh-CN"/>
        </w:rPr>
        <w:t>2.</w:t>
      </w:r>
      <w:r>
        <w:rPr>
          <w:rFonts w:hint="eastAsia" w:ascii="宋体" w:hAnsi="宋体" w:cs="仿宋_GB2312"/>
          <w:kern w:val="0"/>
          <w:sz w:val="32"/>
          <w:szCs w:val="32"/>
          <w:lang w:val="en-US" w:eastAsia="zh-CN"/>
        </w:rPr>
        <w:t>将乐县城建和交通局，建议函告将乐县人民政府进一步核实处理。</w:t>
      </w:r>
    </w:p>
    <w:p>
      <w:pPr>
        <w:keepLines w:val="0"/>
        <w:spacing w:line="560" w:lineRule="exact"/>
        <w:ind w:firstLine="645"/>
        <w:rPr>
          <w:rFonts w:hint="default" w:ascii="宋体" w:hAnsi="宋体" w:cs="仿宋_GB2312"/>
          <w:color w:val="auto"/>
          <w:kern w:val="0"/>
          <w:szCs w:val="32"/>
          <w:lang w:val="en-US" w:eastAsia="zh-CN"/>
        </w:rPr>
      </w:pPr>
      <w:r>
        <w:rPr>
          <w:rFonts w:hint="eastAsia" w:ascii="宋体" w:hAnsi="宋体" w:cs="仿宋_GB2312"/>
          <w:b w:val="0"/>
          <w:bCs w:val="0"/>
          <w:szCs w:val="32"/>
          <w:lang w:val="en-US" w:eastAsia="zh-CN"/>
        </w:rPr>
        <w:t>3</w:t>
      </w:r>
      <w:r>
        <w:rPr>
          <w:rFonts w:hint="eastAsia" w:ascii="宋体" w:hAnsi="宋体" w:eastAsia="仿宋_GB2312" w:cs="仿宋_GB2312"/>
          <w:b w:val="0"/>
          <w:bCs w:val="0"/>
          <w:szCs w:val="32"/>
          <w:lang w:val="en-US" w:eastAsia="zh-CN"/>
        </w:rPr>
        <w:t>.</w:t>
      </w:r>
      <w:r>
        <w:rPr>
          <w:rFonts w:hint="eastAsia" w:ascii="宋体" w:hAnsi="宋体" w:cs="仿宋_GB2312"/>
          <w:color w:val="auto"/>
          <w:kern w:val="0"/>
          <w:szCs w:val="32"/>
          <w:lang w:val="en-US" w:eastAsia="zh-CN"/>
        </w:rPr>
        <w:t>南埔镇人民政府，</w:t>
      </w:r>
      <w:r>
        <w:rPr>
          <w:rFonts w:hint="eastAsia" w:ascii="宋体" w:hAnsi="宋体" w:cs="仿宋_GB2312"/>
          <w:kern w:val="0"/>
          <w:sz w:val="32"/>
          <w:szCs w:val="32"/>
          <w:lang w:val="en-US" w:eastAsia="zh-CN"/>
        </w:rPr>
        <w:t>建议泉港区人民政府在全区范围内对其进行通报。</w:t>
      </w:r>
    </w:p>
    <w:p>
      <w:pPr>
        <w:pStyle w:val="3"/>
        <w:keepLines w:val="0"/>
        <w:rPr>
          <w:rFonts w:hint="eastAsia"/>
        </w:rPr>
      </w:pPr>
      <w:bookmarkStart w:id="323" w:name="_Toc7325"/>
      <w:bookmarkStart w:id="324" w:name="_Toc5105"/>
      <w:bookmarkStart w:id="325" w:name="_Toc22556"/>
      <w:bookmarkStart w:id="326" w:name="_Toc8081"/>
      <w:bookmarkStart w:id="327" w:name="_Toc2285"/>
      <w:bookmarkStart w:id="328" w:name="_Toc525"/>
      <w:bookmarkStart w:id="329" w:name="_Toc8427"/>
      <w:bookmarkStart w:id="330" w:name="_Toc520"/>
      <w:bookmarkStart w:id="331" w:name="_Toc7320"/>
      <w:bookmarkStart w:id="332" w:name="_Toc24722"/>
      <w:bookmarkStart w:id="333" w:name="_Toc6298"/>
      <w:bookmarkStart w:id="334" w:name="_Toc12836"/>
      <w:bookmarkStart w:id="335" w:name="_Toc19978"/>
      <w:bookmarkStart w:id="336" w:name="_Toc5292"/>
      <w:bookmarkStart w:id="337" w:name="_Toc4631"/>
      <w:bookmarkStart w:id="338" w:name="_Toc22949"/>
      <w:r>
        <w:rPr>
          <w:rFonts w:hint="eastAsia"/>
          <w:lang w:val="en-US" w:eastAsia="zh-CN"/>
        </w:rPr>
        <w:t>五</w:t>
      </w:r>
      <w:r>
        <w:rPr>
          <w:rFonts w:hint="eastAsia"/>
        </w:rPr>
        <w:t>、事故防范和整改措施</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cs="仿宋_GB2312"/>
          <w:color w:val="auto"/>
          <w:kern w:val="0"/>
          <w:sz w:val="32"/>
          <w:szCs w:val="32"/>
          <w:lang w:val="en-US" w:eastAsia="zh-CN"/>
        </w:rPr>
      </w:pPr>
      <w:r>
        <w:rPr>
          <w:rFonts w:hint="eastAsia" w:ascii="宋体" w:hAnsi="宋体" w:eastAsia="楷体_GB2312" w:cs="楷体_GB2312"/>
          <w:b/>
          <w:bCs/>
          <w:szCs w:val="32"/>
        </w:rPr>
        <w:t>（</w:t>
      </w:r>
      <w:r>
        <w:rPr>
          <w:rFonts w:hint="eastAsia" w:ascii="宋体" w:hAnsi="宋体" w:eastAsia="楷体_GB2312" w:cs="楷体_GB2312"/>
          <w:b/>
          <w:bCs/>
          <w:szCs w:val="32"/>
          <w:lang w:val="en-US" w:eastAsia="zh-CN"/>
        </w:rPr>
        <w:t>一</w:t>
      </w:r>
      <w:r>
        <w:rPr>
          <w:rFonts w:hint="eastAsia" w:ascii="宋体" w:hAnsi="宋体" w:eastAsia="楷体_GB2312" w:cs="楷体_GB2312"/>
          <w:b/>
          <w:bCs/>
          <w:szCs w:val="32"/>
        </w:rPr>
        <w:t>）事故企业要认真落实安全生产主体责任。</w:t>
      </w:r>
      <w:r>
        <w:rPr>
          <w:rFonts w:hint="eastAsia" w:ascii="宋体" w:hAnsi="宋体" w:cs="仿宋_GB2312"/>
          <w:color w:val="auto"/>
          <w:kern w:val="0"/>
          <w:sz w:val="32"/>
          <w:szCs w:val="32"/>
          <w:lang w:val="en-US" w:eastAsia="zh-CN"/>
        </w:rPr>
        <w:t>将乐县汉宇物流有限公司要加强车辆风险点辨识，定期开展安全风险辨识评估和隐患排查治理；以此事故为戒，开展全员警示教育；定期开展相关安全操作规程、正确佩戴劳保防护用品器具、应急处置等安全培训教育和考核；建议增设驻点作业安全监督人员，对违章作业的情况着重管控，杜绝违章作业的情况再次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宋体" w:hAnsi="宋体" w:eastAsia="楷体_GB2312" w:cs="楷体_GB2312"/>
          <w:b/>
          <w:bCs/>
          <w:szCs w:val="32"/>
          <w:lang w:val="en-US" w:eastAsia="zh-CN"/>
        </w:rPr>
      </w:pPr>
      <w:r>
        <w:rPr>
          <w:rFonts w:hint="eastAsia" w:ascii="宋体" w:hAnsi="宋体" w:eastAsia="楷体_GB2312" w:cs="楷体_GB2312"/>
          <w:b/>
          <w:bCs/>
          <w:szCs w:val="32"/>
        </w:rPr>
        <w:t>（</w:t>
      </w:r>
      <w:r>
        <w:rPr>
          <w:rFonts w:hint="eastAsia" w:ascii="宋体" w:hAnsi="宋体" w:eastAsia="楷体_GB2312" w:cs="楷体_GB2312"/>
          <w:b/>
          <w:bCs/>
          <w:szCs w:val="32"/>
          <w:lang w:eastAsia="zh-CN"/>
        </w:rPr>
        <w:t>二</w:t>
      </w:r>
      <w:r>
        <w:rPr>
          <w:rFonts w:hint="eastAsia" w:ascii="宋体" w:hAnsi="宋体" w:eastAsia="楷体_GB2312" w:cs="楷体_GB2312"/>
          <w:b/>
          <w:bCs/>
          <w:szCs w:val="32"/>
        </w:rPr>
        <w:t>）</w:t>
      </w:r>
      <w:r>
        <w:rPr>
          <w:rFonts w:hint="eastAsia" w:ascii="宋体" w:hAnsi="宋体" w:eastAsia="楷体_GB2312" w:cs="楷体_GB2312"/>
          <w:b/>
          <w:bCs/>
          <w:szCs w:val="32"/>
          <w:lang w:val="en-US" w:eastAsia="zh-CN"/>
        </w:rPr>
        <w:t>港区生产经营单位要充分吸取事故教训。</w:t>
      </w:r>
      <w:r>
        <w:rPr>
          <w:rFonts w:hint="eastAsia" w:ascii="宋体" w:hAnsi="宋体" w:eastAsia="仿宋_GB2312" w:cs="仿宋_GB2312"/>
          <w:b w:val="0"/>
          <w:bCs w:val="0"/>
          <w:color w:val="auto"/>
          <w:kern w:val="0"/>
          <w:szCs w:val="32"/>
          <w:lang w:val="en-US" w:eastAsia="zh-CN"/>
        </w:rPr>
        <w:t>港区</w:t>
      </w:r>
      <w:r>
        <w:rPr>
          <w:rFonts w:hint="eastAsia" w:ascii="宋体" w:hAnsi="宋体" w:cs="仿宋_GB2312"/>
          <w:b w:val="0"/>
          <w:bCs w:val="0"/>
          <w:color w:val="auto"/>
          <w:kern w:val="0"/>
          <w:szCs w:val="32"/>
          <w:lang w:val="en-US" w:eastAsia="zh-CN"/>
        </w:rPr>
        <w:t>内的生产经营单位要认真吸取事故教训，要加强作业风险辨析和管控，严禁作业人员进行违规作业，严厉打击违章作业的行为，对关键岗位和关键作业环节应重点监管和监控，避免作业人员违章作业的情况发生。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cs="仿宋_GB2312"/>
          <w:color w:val="auto"/>
          <w:kern w:val="0"/>
          <w:sz w:val="32"/>
          <w:szCs w:val="32"/>
          <w:lang w:val="en-US" w:eastAsia="zh-CN"/>
        </w:rPr>
      </w:pPr>
      <w:r>
        <w:rPr>
          <w:rFonts w:hint="eastAsia" w:ascii="宋体" w:hAnsi="宋体" w:eastAsia="楷体_GB2312" w:cs="楷体_GB2312"/>
          <w:b/>
          <w:bCs/>
          <w:szCs w:val="32"/>
        </w:rPr>
        <w:t>（</w:t>
      </w:r>
      <w:r>
        <w:rPr>
          <w:rFonts w:hint="eastAsia" w:ascii="宋体" w:hAnsi="宋体" w:eastAsia="楷体_GB2312" w:cs="楷体_GB2312"/>
          <w:b/>
          <w:bCs/>
          <w:szCs w:val="32"/>
          <w:lang w:val="en-US" w:eastAsia="zh-CN"/>
        </w:rPr>
        <w:t>三</w:t>
      </w:r>
      <w:r>
        <w:rPr>
          <w:rFonts w:hint="eastAsia" w:ascii="宋体" w:hAnsi="宋体" w:eastAsia="楷体_GB2312" w:cs="楷体_GB2312"/>
          <w:b/>
          <w:bCs/>
          <w:szCs w:val="32"/>
        </w:rPr>
        <w:t>）</w:t>
      </w:r>
      <w:r>
        <w:rPr>
          <w:rFonts w:hint="eastAsia" w:ascii="宋体" w:hAnsi="宋体" w:eastAsia="楷体_GB2312" w:cs="楷体_GB2312"/>
          <w:b/>
          <w:bCs/>
          <w:szCs w:val="32"/>
          <w:lang w:val="en-US" w:eastAsia="zh-CN"/>
        </w:rPr>
        <w:t>相关单位要进一步强化安全监督管理。</w:t>
      </w:r>
      <w:r>
        <w:rPr>
          <w:rFonts w:hint="default" w:ascii="宋体" w:hAnsi="宋体" w:cs="仿宋_GB2312"/>
          <w:color w:val="auto"/>
          <w:kern w:val="0"/>
          <w:sz w:val="32"/>
          <w:szCs w:val="32"/>
          <w:lang w:val="en-US" w:eastAsia="zh-CN"/>
        </w:rPr>
        <w:t>福建凤起供应链管理有限公司</w:t>
      </w:r>
      <w:r>
        <w:rPr>
          <w:rFonts w:hint="eastAsia" w:ascii="宋体" w:hAnsi="宋体" w:cs="仿宋_GB2312"/>
          <w:color w:val="auto"/>
          <w:kern w:val="0"/>
          <w:sz w:val="32"/>
          <w:szCs w:val="32"/>
          <w:lang w:val="en-US" w:eastAsia="zh-CN"/>
        </w:rPr>
        <w:t>，要加强作业管理监督机制，在运输公司装卸料之前要和司机做好安全交底，提醒并督促司机佩戴好相应安全防护用品器具后，方可开始操作；在装卸料过程中要做到全程在场监护，直至作业完成及车辆离开现场后，发料员（监护人员）方可离开现场；同时建议企业内部加强作业过程中的安全检查监督工作；要定期开展安全风险辨识评估和隐患排查治理；定期开展相关安全培训教育，定期开展应急预案演练；对装卸区域等存在安全风险的区域安装固定式高清视频监控系统，视频录像应保持至少1个月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cs="仿宋_GB2312"/>
          <w:color w:val="auto"/>
          <w:kern w:val="0"/>
          <w:sz w:val="32"/>
          <w:szCs w:val="32"/>
          <w:lang w:val="en-US" w:eastAsia="zh-CN"/>
        </w:rPr>
      </w:pPr>
      <w:r>
        <w:rPr>
          <w:rFonts w:hint="eastAsia" w:ascii="宋体" w:hAnsi="宋体" w:cs="仿宋_GB2312"/>
          <w:szCs w:val="32"/>
          <w:lang w:val="en-US" w:eastAsia="zh-CN"/>
        </w:rPr>
        <w:t>福建</w:t>
      </w:r>
      <w:r>
        <w:rPr>
          <w:rFonts w:hint="eastAsia" w:ascii="宋体" w:hAnsi="宋体" w:cs="仿宋_GB2312"/>
          <w:color w:val="auto"/>
          <w:kern w:val="0"/>
          <w:sz w:val="32"/>
          <w:szCs w:val="32"/>
          <w:lang w:val="en-US" w:eastAsia="zh-CN"/>
        </w:rPr>
        <w:t>肖厝港物流有限责任公司，要将承包商、供应商、</w:t>
      </w:r>
      <w:r>
        <w:rPr>
          <w:rFonts w:hint="default" w:ascii="宋体" w:hAnsi="宋体" w:cs="仿宋_GB2312"/>
          <w:color w:val="auto"/>
          <w:kern w:val="0"/>
          <w:sz w:val="32"/>
          <w:szCs w:val="32"/>
          <w:lang w:val="en-US" w:eastAsia="zh-CN"/>
        </w:rPr>
        <w:t>供应链</w:t>
      </w:r>
      <w:r>
        <w:rPr>
          <w:rFonts w:hint="eastAsia" w:ascii="宋体" w:hAnsi="宋体" w:cs="仿宋_GB2312"/>
          <w:color w:val="auto"/>
          <w:kern w:val="0"/>
          <w:sz w:val="32"/>
          <w:szCs w:val="32"/>
          <w:lang w:val="en-US" w:eastAsia="zh-CN"/>
        </w:rPr>
        <w:t>等第三方及进入本辖区内的人员纳入本企业安全管理中，组织开展相关安全培训教育，定期开展应急预案演练；加强人员车辆进出厂（场、港）安全管控，做好进厂（场、港）安全培训教育，或安全告知；要定期开展安全风险辨识评估和隐患排查治理；对装卸区域等存在安全风险的区域安装固定式高清视频监控系统，视频录像应保持至少1个月以上。</w:t>
      </w:r>
    </w:p>
    <w:p>
      <w:pPr>
        <w:pStyle w:val="10"/>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kern w:val="0"/>
          <w:sz w:val="32"/>
          <w:szCs w:val="32"/>
          <w:lang w:val="en-US" w:eastAsia="zh-CN" w:bidi="ar-SA"/>
        </w:rPr>
      </w:pPr>
      <w:r>
        <w:rPr>
          <w:rFonts w:hint="eastAsia" w:ascii="宋体" w:hAnsi="宋体" w:eastAsia="楷体_GB2312" w:cs="楷体_GB2312"/>
          <w:b/>
          <w:bCs/>
          <w:kern w:val="2"/>
          <w:sz w:val="32"/>
          <w:szCs w:val="32"/>
          <w:lang w:val="en-US" w:eastAsia="zh-CN" w:bidi="ar-SA"/>
        </w:rPr>
        <w:t>（四）负有安全生产监督管理职责的部门要夯实安全生产监管责任。</w:t>
      </w:r>
      <w:r>
        <w:rPr>
          <w:rFonts w:hint="eastAsia" w:ascii="宋体" w:hAnsi="宋体" w:eastAsia="仿宋_GB2312" w:cs="仿宋_GB2312"/>
          <w:color w:val="auto"/>
          <w:kern w:val="0"/>
          <w:sz w:val="32"/>
          <w:szCs w:val="32"/>
          <w:lang w:val="en-US" w:eastAsia="zh-CN" w:bidi="ar-SA"/>
        </w:rPr>
        <w:t>各有关部门要吸取事故教训并举一反三，按照</w:t>
      </w:r>
      <w:r>
        <w:rPr>
          <w:rFonts w:hint="eastAsia" w:ascii="宋体" w:hAnsi="宋体" w:cs="仿宋_GB2312"/>
          <w:color w:val="auto"/>
          <w:kern w:val="0"/>
          <w:sz w:val="32"/>
          <w:szCs w:val="32"/>
          <w:lang w:val="en-US" w:eastAsia="zh-CN" w:bidi="ar-SA"/>
        </w:rPr>
        <w:t>“</w:t>
      </w:r>
      <w:r>
        <w:rPr>
          <w:rFonts w:hint="eastAsia" w:ascii="宋体" w:hAnsi="宋体" w:eastAsia="仿宋_GB2312" w:cs="仿宋_GB2312"/>
          <w:color w:val="auto"/>
          <w:kern w:val="0"/>
          <w:sz w:val="32"/>
          <w:szCs w:val="32"/>
          <w:lang w:val="en-US" w:eastAsia="zh-CN" w:bidi="ar-SA"/>
        </w:rPr>
        <w:t>管行业必须管安全、管业务必须管安全、管生产经营必须管安全</w:t>
      </w:r>
      <w:r>
        <w:rPr>
          <w:rFonts w:hint="eastAsia" w:ascii="宋体" w:hAnsi="宋体" w:cs="仿宋_GB2312"/>
          <w:color w:val="auto"/>
          <w:kern w:val="0"/>
          <w:sz w:val="32"/>
          <w:szCs w:val="32"/>
          <w:lang w:val="en-US" w:eastAsia="zh-CN" w:bidi="ar-SA"/>
        </w:rPr>
        <w:t>”</w:t>
      </w:r>
      <w:r>
        <w:rPr>
          <w:rFonts w:hint="eastAsia" w:ascii="宋体" w:hAnsi="宋体" w:eastAsia="仿宋_GB2312" w:cs="仿宋_GB2312"/>
          <w:color w:val="auto"/>
          <w:kern w:val="0"/>
          <w:sz w:val="32"/>
          <w:szCs w:val="32"/>
          <w:lang w:val="en-US" w:eastAsia="zh-CN" w:bidi="ar-SA"/>
        </w:rPr>
        <w:t>和</w:t>
      </w:r>
      <w:r>
        <w:rPr>
          <w:rFonts w:hint="eastAsia" w:ascii="宋体" w:hAnsi="宋体" w:cs="仿宋_GB2312"/>
          <w:color w:val="auto"/>
          <w:kern w:val="0"/>
          <w:sz w:val="32"/>
          <w:szCs w:val="32"/>
          <w:lang w:val="en-US" w:eastAsia="zh-CN" w:bidi="ar-SA"/>
        </w:rPr>
        <w:t>“</w:t>
      </w:r>
      <w:r>
        <w:rPr>
          <w:rFonts w:hint="eastAsia" w:ascii="宋体" w:hAnsi="宋体" w:eastAsia="仿宋_GB2312" w:cs="仿宋_GB2312"/>
          <w:color w:val="auto"/>
          <w:kern w:val="0"/>
          <w:sz w:val="32"/>
          <w:szCs w:val="32"/>
          <w:lang w:val="en-US" w:eastAsia="zh-CN" w:bidi="ar-SA"/>
        </w:rPr>
        <w:t>谁主管谁负责</w:t>
      </w:r>
      <w:r>
        <w:rPr>
          <w:rFonts w:hint="eastAsia" w:ascii="宋体" w:hAnsi="宋体" w:cs="仿宋_GB2312"/>
          <w:color w:val="auto"/>
          <w:kern w:val="0"/>
          <w:sz w:val="32"/>
          <w:szCs w:val="32"/>
          <w:lang w:val="en-US" w:eastAsia="zh-CN" w:bidi="ar-SA"/>
        </w:rPr>
        <w:t>”的</w:t>
      </w:r>
      <w:r>
        <w:rPr>
          <w:rFonts w:hint="eastAsia" w:ascii="宋体" w:hAnsi="宋体" w:eastAsia="仿宋_GB2312" w:cs="仿宋_GB2312"/>
          <w:color w:val="auto"/>
          <w:kern w:val="0"/>
          <w:sz w:val="32"/>
          <w:szCs w:val="32"/>
          <w:lang w:val="en-US" w:eastAsia="zh-CN" w:bidi="ar-SA"/>
        </w:rPr>
        <w:t>原则，履行安全生产监管责任。</w:t>
      </w:r>
    </w:p>
    <w:p>
      <w:pPr>
        <w:pStyle w:val="10"/>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cs="仿宋_GB2312"/>
          <w:color w:val="auto"/>
          <w:kern w:val="0"/>
          <w:sz w:val="32"/>
          <w:szCs w:val="32"/>
          <w:lang w:val="en-US" w:eastAsia="zh-CN" w:bidi="ar-SA"/>
        </w:rPr>
      </w:pPr>
      <w:r>
        <w:rPr>
          <w:rFonts w:hint="eastAsia" w:ascii="宋体" w:hAnsi="宋体" w:cs="仿宋_GB2312"/>
          <w:color w:val="auto"/>
          <w:kern w:val="0"/>
          <w:sz w:val="32"/>
          <w:szCs w:val="32"/>
          <w:lang w:val="en-US" w:eastAsia="zh-CN" w:bidi="ar-SA"/>
        </w:rPr>
        <w:t>南埔镇人民政府</w:t>
      </w:r>
      <w:r>
        <w:rPr>
          <w:rFonts w:hint="eastAsia" w:ascii="仿宋" w:hAnsi="仿宋" w:eastAsia="仿宋" w:cs="仿宋"/>
          <w:i w:val="0"/>
          <w:iCs w:val="0"/>
          <w:caps w:val="0"/>
          <w:color w:val="auto"/>
          <w:spacing w:val="0"/>
          <w:sz w:val="32"/>
          <w:szCs w:val="32"/>
          <w:shd w:val="clear" w:fill="FFFFFF"/>
        </w:rPr>
        <w:t>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r>
        <w:rPr>
          <w:rFonts w:hint="eastAsia" w:ascii="宋体" w:hAnsi="宋体" w:eastAsia="仿宋_GB2312" w:cs="仿宋_GB2312"/>
          <w:color w:val="auto"/>
          <w:kern w:val="0"/>
          <w:sz w:val="32"/>
          <w:szCs w:val="32"/>
          <w:lang w:val="en-US" w:eastAsia="zh-CN" w:bidi="ar-SA"/>
        </w:rPr>
        <w:t>要</w:t>
      </w:r>
      <w:r>
        <w:rPr>
          <w:rFonts w:hint="eastAsia" w:ascii="宋体" w:hAnsi="宋体" w:cs="仿宋_GB2312"/>
          <w:color w:val="auto"/>
          <w:kern w:val="0"/>
          <w:sz w:val="32"/>
          <w:szCs w:val="32"/>
          <w:lang w:val="en-US" w:eastAsia="zh-CN" w:bidi="ar-SA"/>
        </w:rPr>
        <w:t>定期排查更新属地管辖区域内新增企业，特别是厂中厂企业；要建立健全“一企一档”，确保全覆盖进行安全监管；</w:t>
      </w:r>
      <w:r>
        <w:rPr>
          <w:rFonts w:hint="eastAsia" w:ascii="宋体" w:hAnsi="宋体" w:eastAsia="仿宋_GB2312" w:cs="仿宋_GB2312"/>
          <w:color w:val="auto"/>
          <w:kern w:val="0"/>
          <w:sz w:val="32"/>
          <w:szCs w:val="32"/>
          <w:lang w:val="en-US" w:eastAsia="zh-CN" w:bidi="ar-SA"/>
        </w:rPr>
        <w:t>加强</w:t>
      </w:r>
      <w:r>
        <w:rPr>
          <w:rFonts w:hint="eastAsia" w:ascii="宋体" w:hAnsi="宋体" w:cs="仿宋_GB2312"/>
          <w:color w:val="auto"/>
          <w:kern w:val="0"/>
          <w:sz w:val="32"/>
          <w:szCs w:val="32"/>
          <w:lang w:val="en-US" w:eastAsia="zh-CN" w:bidi="ar-SA"/>
        </w:rPr>
        <w:t>属地管辖区域内企业日常安全生产监督检查和安全生产巡查工作，加强作业过程安全管控，专业化服务，确保作业过程安全。</w:t>
      </w:r>
    </w:p>
    <w:p>
      <w:pPr>
        <w:pStyle w:val="10"/>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cs="仿宋_GB2312"/>
          <w:color w:val="auto"/>
          <w:kern w:val="0"/>
          <w:sz w:val="32"/>
          <w:szCs w:val="32"/>
          <w:lang w:val="en-US" w:eastAsia="zh-CN" w:bidi="ar-SA"/>
        </w:rPr>
      </w:pPr>
      <w:r>
        <w:rPr>
          <w:rFonts w:hint="eastAsia" w:ascii="宋体" w:hAnsi="宋体" w:cs="仿宋_GB2312"/>
          <w:color w:val="auto"/>
          <w:kern w:val="0"/>
          <w:sz w:val="32"/>
          <w:szCs w:val="32"/>
          <w:lang w:val="en-US" w:eastAsia="zh-CN" w:bidi="ar-SA"/>
        </w:rPr>
        <w:t>肖厝港务站</w:t>
      </w:r>
      <w:r>
        <w:rPr>
          <w:rFonts w:hint="eastAsia" w:ascii="宋体" w:hAnsi="宋体" w:eastAsia="仿宋_GB2312" w:cs="仿宋_GB2312"/>
          <w:color w:val="auto"/>
          <w:kern w:val="0"/>
          <w:sz w:val="32"/>
          <w:szCs w:val="32"/>
          <w:lang w:val="en-US" w:eastAsia="zh-CN" w:bidi="ar-SA"/>
        </w:rPr>
        <w:t>要</w:t>
      </w:r>
      <w:r>
        <w:rPr>
          <w:rFonts w:hint="eastAsia" w:ascii="宋体" w:hAnsi="宋体" w:eastAsia="仿宋_GB2312" w:cs="仿宋_GB2312"/>
          <w:i w:val="0"/>
          <w:iCs w:val="0"/>
          <w:caps w:val="0"/>
          <w:color w:val="auto"/>
          <w:spacing w:val="0"/>
          <w:kern w:val="0"/>
          <w:sz w:val="32"/>
          <w:szCs w:val="32"/>
          <w:shd w:val="clear" w:fill="auto"/>
        </w:rPr>
        <w:t>举一反三，加强对港区企业的安全生产技术指导服务，以策安全</w:t>
      </w:r>
      <w:r>
        <w:rPr>
          <w:rFonts w:hint="eastAsia" w:ascii="宋体" w:hAnsi="宋体" w:cs="仿宋_GB2312"/>
          <w:color w:val="auto"/>
          <w:kern w:val="0"/>
          <w:sz w:val="32"/>
          <w:szCs w:val="32"/>
          <w:lang w:val="en-US" w:eastAsia="zh-CN" w:bidi="ar-SA"/>
        </w:rPr>
        <w:t>。</w:t>
      </w:r>
    </w:p>
    <w:bookmarkEnd w:id="207"/>
    <w:bookmarkEnd w:id="208"/>
    <w:bookmarkEnd w:id="209"/>
    <w:bookmarkEnd w:id="210"/>
    <w:bookmarkEnd w:id="211"/>
    <w:p>
      <w:pPr>
        <w:keepLines w:val="0"/>
        <w:spacing w:line="560" w:lineRule="exact"/>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1600" w:leftChars="200" w:hanging="960" w:hangingChars="300"/>
        <w:jc w:val="both"/>
        <w:textAlignment w:val="auto"/>
        <w:outlineLvl w:val="9"/>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附件：</w:t>
      </w:r>
      <w:r>
        <w:rPr>
          <w:rFonts w:hint="eastAsia" w:ascii="仿宋_GB2312" w:hAnsi="仿宋_GB2312" w:cs="仿宋_GB2312"/>
          <w:kern w:val="0"/>
          <w:sz w:val="32"/>
          <w:szCs w:val="32"/>
          <w:lang w:val="en-US" w:eastAsia="zh-CN"/>
        </w:rPr>
        <w:t>1.</w:t>
      </w:r>
      <w:r>
        <w:rPr>
          <w:rFonts w:hint="eastAsia" w:ascii="仿宋_GB2312" w:hAnsi="仿宋_GB2312" w:eastAsia="仿宋_GB2312" w:cs="仿宋_GB2312"/>
          <w:kern w:val="0"/>
          <w:sz w:val="32"/>
          <w:szCs w:val="32"/>
          <w:lang w:eastAsia="zh-CN"/>
        </w:rPr>
        <w:t>泉港南埔将乐县汉宇物流有限公司</w:t>
      </w:r>
      <w:r>
        <w:rPr>
          <w:rFonts w:hint="eastAsia" w:ascii="仿宋_GB2312" w:hAnsi="仿宋_GB2312" w:cs="仿宋_GB2312"/>
          <w:kern w:val="0"/>
          <w:sz w:val="32"/>
          <w:szCs w:val="32"/>
          <w:lang w:eastAsia="zh-CN"/>
        </w:rPr>
        <w:t>“</w:t>
      </w:r>
      <w:r>
        <w:rPr>
          <w:rFonts w:hint="eastAsia" w:ascii="仿宋_GB2312" w:hAnsi="仿宋_GB2312" w:eastAsia="仿宋_GB2312" w:cs="仿宋_GB2312"/>
          <w:kern w:val="0"/>
          <w:sz w:val="32"/>
          <w:szCs w:val="32"/>
          <w:lang w:eastAsia="zh-CN"/>
        </w:rPr>
        <w:t>5·4</w:t>
      </w:r>
      <w:r>
        <w:rPr>
          <w:rFonts w:hint="eastAsia" w:ascii="仿宋_GB2312" w:hAnsi="仿宋_GB2312" w:cs="仿宋_GB2312"/>
          <w:kern w:val="0"/>
          <w:sz w:val="32"/>
          <w:szCs w:val="32"/>
          <w:lang w:eastAsia="zh-CN"/>
        </w:rPr>
        <w:t>”</w:t>
      </w:r>
      <w:r>
        <w:rPr>
          <w:rFonts w:hint="eastAsia" w:ascii="仿宋_GB2312" w:hAnsi="仿宋_GB2312" w:eastAsia="仿宋_GB2312" w:cs="仿宋_GB2312"/>
          <w:kern w:val="0"/>
          <w:sz w:val="32"/>
          <w:szCs w:val="32"/>
          <w:lang w:eastAsia="zh-CN"/>
        </w:rPr>
        <w:t>一般高处坠落事故调查报告确认情况</w:t>
      </w:r>
    </w:p>
    <w:p>
      <w:pPr>
        <w:keepNext w:val="0"/>
        <w:keepLines w:val="0"/>
        <w:pageBreakBefore w:val="0"/>
        <w:widowControl w:val="0"/>
        <w:kinsoku/>
        <w:wordWrap/>
        <w:overflowPunct/>
        <w:topLinePunct w:val="0"/>
        <w:autoSpaceDE/>
        <w:autoSpaceDN/>
        <w:bidi w:val="0"/>
        <w:adjustRightInd/>
        <w:snapToGrid/>
        <w:spacing w:line="560" w:lineRule="exact"/>
        <w:ind w:left="1600" w:leftChars="500" w:firstLine="0" w:firstLineChars="0"/>
        <w:jc w:val="both"/>
        <w:textAlignment w:val="auto"/>
        <w:outlineLvl w:val="9"/>
        <w:rPr>
          <w:rFonts w:hint="eastAsia" w:ascii="仿宋_GB2312" w:hAnsi="仿宋_GB2312" w:cs="仿宋_GB2312"/>
          <w:kern w:val="0"/>
          <w:szCs w:val="32"/>
          <w:lang w:val="en-US" w:eastAsia="zh-CN"/>
        </w:rPr>
      </w:pPr>
      <w:r>
        <w:rPr>
          <w:rFonts w:hint="eastAsia" w:ascii="仿宋_GB2312" w:hAnsi="仿宋_GB2312" w:cs="仿宋_GB2312"/>
          <w:kern w:val="0"/>
          <w:szCs w:val="32"/>
          <w:lang w:val="en-US" w:eastAsia="zh-CN"/>
        </w:rPr>
        <w:t>2.泉港南埔将乐县汉宇物流有限公司“5·4”一般高处坠落事故技术鉴定报告</w:t>
      </w:r>
    </w:p>
    <w:p>
      <w:pPr>
        <w:keepNext w:val="0"/>
        <w:keepLines w:val="0"/>
        <w:pageBreakBefore w:val="0"/>
        <w:widowControl w:val="0"/>
        <w:kinsoku/>
        <w:wordWrap/>
        <w:overflowPunct/>
        <w:topLinePunct w:val="0"/>
        <w:autoSpaceDE/>
        <w:autoSpaceDN/>
        <w:bidi w:val="0"/>
        <w:adjustRightInd/>
        <w:snapToGrid/>
        <w:spacing w:line="560" w:lineRule="exact"/>
        <w:ind w:left="1600" w:leftChars="200" w:hanging="960" w:hangingChars="300"/>
        <w:jc w:val="both"/>
        <w:textAlignment w:val="auto"/>
        <w:outlineLvl w:val="9"/>
        <w:rPr>
          <w:rFonts w:hint="default"/>
          <w:lang w:val="en-US" w:eastAsia="zh-CN"/>
        </w:rPr>
        <w:sectPr>
          <w:footerReference r:id="rId6" w:type="default"/>
          <w:pgSz w:w="11906" w:h="16838"/>
          <w:pgMar w:top="2098" w:right="1474" w:bottom="1984" w:left="1587" w:header="851" w:footer="992" w:gutter="0"/>
          <w:pgNumType w:fmt="decimal"/>
          <w:cols w:space="425" w:num="1"/>
          <w:docGrid w:type="lines" w:linePitch="312" w:charSpace="0"/>
        </w:sectPr>
      </w:pPr>
      <w:r>
        <w:rPr>
          <w:rFonts w:hint="eastAsia" w:ascii="仿宋_GB2312" w:hAnsi="仿宋_GB2312" w:cs="仿宋_GB2312"/>
          <w:kern w:val="0"/>
          <w:szCs w:val="32"/>
          <w:lang w:val="en-US" w:eastAsia="zh-CN"/>
        </w:rPr>
        <w:t xml:space="preserve">  </w:t>
      </w:r>
      <w:r>
        <w:rPr>
          <w:rFonts w:hint="eastAsia"/>
          <w:lang w:val="en-US" w:eastAsia="zh-CN"/>
        </w:rPr>
        <w:t xml:space="preserve">  </w:t>
      </w:r>
    </w:p>
    <w:p>
      <w:pPr>
        <w:pStyle w:val="3"/>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Calibri" w:hAnsi="Calibri" w:eastAsia="黑体" w:cs="Times New Roman"/>
          <w:kern w:val="44"/>
          <w:sz w:val="32"/>
          <w:szCs w:val="22"/>
          <w:lang w:val="en-US" w:eastAsia="zh-CN"/>
        </w:rPr>
      </w:pPr>
      <w:bookmarkStart w:id="339" w:name="_Toc7289"/>
      <w:bookmarkStart w:id="340" w:name="_Toc14430"/>
      <w:bookmarkStart w:id="341" w:name="_Toc25354"/>
      <w:bookmarkStart w:id="342" w:name="_Toc25030"/>
      <w:r>
        <w:rPr>
          <w:rFonts w:hint="eastAsia" w:ascii="Calibri" w:hAnsi="Calibri" w:eastAsia="黑体" w:cs="Times New Roman"/>
          <w:kern w:val="44"/>
          <w:sz w:val="32"/>
          <w:szCs w:val="22"/>
          <w:lang w:eastAsia="zh-CN"/>
        </w:rPr>
        <w:drawing>
          <wp:anchor distT="0" distB="0" distL="114300" distR="114300" simplePos="0" relativeHeight="251662336" behindDoc="1" locked="0" layoutInCell="1" allowOverlap="1">
            <wp:simplePos x="0" y="0"/>
            <wp:positionH relativeFrom="column">
              <wp:posOffset>-826770</wp:posOffset>
            </wp:positionH>
            <wp:positionV relativeFrom="paragraph">
              <wp:posOffset>425450</wp:posOffset>
            </wp:positionV>
            <wp:extent cx="7181850" cy="6831330"/>
            <wp:effectExtent l="0" t="0" r="0" b="7620"/>
            <wp:wrapTight wrapText="bothSides">
              <wp:wrapPolygon>
                <wp:start x="0" y="0"/>
                <wp:lineTo x="0" y="21564"/>
                <wp:lineTo x="21543" y="21564"/>
                <wp:lineTo x="21543" y="0"/>
                <wp:lineTo x="0" y="0"/>
              </wp:wrapPolygon>
            </wp:wrapTight>
            <wp:docPr id="12" name="图片 12" descr="8c5d6f39-afdf-49f0-be18-4b8cc9933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c5d6f39-afdf-49f0-be18-4b8cc993310c"/>
                    <pic:cNvPicPr>
                      <a:picLocks noChangeAspect="1"/>
                    </pic:cNvPicPr>
                  </pic:nvPicPr>
                  <pic:blipFill>
                    <a:blip r:embed="rId14"/>
                    <a:srcRect t="13540"/>
                    <a:stretch>
                      <a:fillRect/>
                    </a:stretch>
                  </pic:blipFill>
                  <pic:spPr>
                    <a:xfrm>
                      <a:off x="0" y="0"/>
                      <a:ext cx="7181850" cy="6831330"/>
                    </a:xfrm>
                    <a:prstGeom prst="rect">
                      <a:avLst/>
                    </a:prstGeom>
                  </pic:spPr>
                </pic:pic>
              </a:graphicData>
            </a:graphic>
          </wp:anchor>
        </w:drawing>
      </w:r>
      <w:r>
        <w:rPr>
          <w:rFonts w:hint="eastAsia" w:ascii="Calibri" w:hAnsi="Calibri" w:eastAsia="黑体" w:cs="Times New Roman"/>
          <w:kern w:val="44"/>
          <w:sz w:val="32"/>
          <w:szCs w:val="22"/>
          <w:lang w:eastAsia="zh-CN"/>
        </w:rPr>
        <w:t>附件</w:t>
      </w:r>
      <w:r>
        <w:rPr>
          <w:rFonts w:hint="eastAsia" w:ascii="Calibri" w:hAnsi="Calibri" w:eastAsia="黑体" w:cs="Times New Roman"/>
          <w:kern w:val="44"/>
          <w:sz w:val="32"/>
          <w:szCs w:val="22"/>
          <w:lang w:val="en-US" w:eastAsia="zh-CN"/>
        </w:rPr>
        <w:t>1</w:t>
      </w:r>
      <w:bookmarkEnd w:id="339"/>
      <w:bookmarkEnd w:id="340"/>
      <w:bookmarkEnd w:id="341"/>
      <w:bookmarkEnd w:id="342"/>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outlineLvl w:val="9"/>
        <w:rPr>
          <w:rFonts w:hint="eastAsia" w:ascii="黑体" w:hAnsi="黑体" w:eastAsia="黑体" w:cs="黑体"/>
          <w:kern w:val="0"/>
          <w:sz w:val="32"/>
          <w:szCs w:val="32"/>
          <w:lang w:eastAsia="zh-CN"/>
        </w:rPr>
        <w:sectPr>
          <w:pgSz w:w="11906" w:h="16838"/>
          <w:pgMar w:top="2098" w:right="1474" w:bottom="1984" w:left="1587" w:header="851" w:footer="992" w:gutter="0"/>
          <w:pgNumType w:fmt="decimal"/>
          <w:cols w:space="425" w:num="1"/>
          <w:docGrid w:type="lines" w:linePitch="312" w:charSpace="0"/>
        </w:sectPr>
      </w:pPr>
    </w:p>
    <w:p>
      <w:pPr>
        <w:pStyle w:val="3"/>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Calibri" w:hAnsi="Calibri" w:eastAsia="黑体" w:cs="Times New Roman"/>
          <w:kern w:val="44"/>
          <w:sz w:val="32"/>
          <w:szCs w:val="22"/>
          <w:lang w:val="en-US" w:eastAsia="zh-CN"/>
        </w:rPr>
      </w:pPr>
      <w:bookmarkStart w:id="343" w:name="_Toc20911"/>
      <w:bookmarkStart w:id="344" w:name="_Toc14890"/>
      <w:bookmarkStart w:id="345" w:name="_Toc25244"/>
      <w:bookmarkStart w:id="346" w:name="_Toc10064"/>
      <w:r>
        <w:rPr>
          <w:rFonts w:hint="default"/>
          <w:lang w:val="en-US" w:eastAsia="zh-CN"/>
        </w:rPr>
        <w:drawing>
          <wp:anchor distT="0" distB="0" distL="114300" distR="114300" simplePos="0" relativeHeight="251663360" behindDoc="0" locked="0" layoutInCell="1" allowOverlap="1">
            <wp:simplePos x="0" y="0"/>
            <wp:positionH relativeFrom="column">
              <wp:posOffset>57150</wp:posOffset>
            </wp:positionH>
            <wp:positionV relativeFrom="paragraph">
              <wp:posOffset>434975</wp:posOffset>
            </wp:positionV>
            <wp:extent cx="5530850" cy="7821295"/>
            <wp:effectExtent l="0" t="0" r="12700" b="8255"/>
            <wp:wrapSquare wrapText="bothSides"/>
            <wp:docPr id="16" name="图片 16" descr="SKM_3672510090346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KM_36725100903460_0001"/>
                    <pic:cNvPicPr>
                      <a:picLocks noChangeAspect="1"/>
                    </pic:cNvPicPr>
                  </pic:nvPicPr>
                  <pic:blipFill>
                    <a:blip r:embed="rId15"/>
                    <a:stretch>
                      <a:fillRect/>
                    </a:stretch>
                  </pic:blipFill>
                  <pic:spPr>
                    <a:xfrm>
                      <a:off x="0" y="0"/>
                      <a:ext cx="5530850" cy="7821295"/>
                    </a:xfrm>
                    <a:prstGeom prst="rect">
                      <a:avLst/>
                    </a:prstGeom>
                  </pic:spPr>
                </pic:pic>
              </a:graphicData>
            </a:graphic>
          </wp:anchor>
        </w:drawing>
      </w:r>
      <w:r>
        <w:rPr>
          <w:rFonts w:hint="eastAsia" w:ascii="Calibri" w:hAnsi="Calibri" w:eastAsia="黑体" w:cs="Times New Roman"/>
          <w:kern w:val="44"/>
          <w:sz w:val="32"/>
          <w:szCs w:val="22"/>
          <w:lang w:eastAsia="zh-CN"/>
        </w:rPr>
        <w:t>附件</w:t>
      </w:r>
      <w:r>
        <w:rPr>
          <w:rFonts w:hint="eastAsia" w:ascii="Calibri" w:hAnsi="Calibri" w:eastAsia="黑体" w:cs="Times New Roman"/>
          <w:kern w:val="44"/>
          <w:sz w:val="32"/>
          <w:szCs w:val="22"/>
          <w:lang w:val="en-US" w:eastAsia="zh-CN"/>
        </w:rPr>
        <w:t>2</w:t>
      </w:r>
      <w:bookmarkEnd w:id="343"/>
      <w:bookmarkEnd w:id="344"/>
      <w:bookmarkEnd w:id="345"/>
      <w:bookmarkEnd w:id="346"/>
    </w:p>
    <w:p>
      <w:pPr>
        <w:pStyle w:val="2"/>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sectPr>
          <w:pgSz w:w="11906" w:h="16838"/>
          <w:pgMar w:top="2098" w:right="1474" w:bottom="1984" w:left="1587" w:header="851" w:footer="992" w:gutter="0"/>
          <w:pgNumType w:fmt="decimal"/>
          <w:cols w:space="425" w:num="1"/>
          <w:docGrid w:type="lines" w:linePitch="312" w:charSpace="0"/>
        </w:sectPr>
      </w:pPr>
      <w:r>
        <w:rPr>
          <w:rFonts w:hint="default"/>
          <w:lang w:val="en-US" w:eastAsia="zh-CN"/>
        </w:rPr>
        <w:drawing>
          <wp:inline distT="0" distB="0" distL="114300" distR="114300">
            <wp:extent cx="5616575" cy="7942580"/>
            <wp:effectExtent l="0" t="0" r="3175" b="1270"/>
            <wp:docPr id="15" name="图片 15" descr="SKM_3672510090346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KM_36725100903460_0002"/>
                    <pic:cNvPicPr>
                      <a:picLocks noChangeAspect="1"/>
                    </pic:cNvPicPr>
                  </pic:nvPicPr>
                  <pic:blipFill>
                    <a:blip r:embed="rId16"/>
                    <a:stretch>
                      <a:fillRect/>
                    </a:stretch>
                  </pic:blipFill>
                  <pic:spPr>
                    <a:xfrm>
                      <a:off x="0" y="0"/>
                      <a:ext cx="5616575" cy="7942580"/>
                    </a:xfrm>
                    <a:prstGeom prst="rect">
                      <a:avLst/>
                    </a:prstGeom>
                  </pic:spPr>
                </pic:pic>
              </a:graphicData>
            </a:graphic>
          </wp:inline>
        </w:drawing>
      </w:r>
      <w:r>
        <w:rPr>
          <w:rFonts w:hint="default"/>
          <w:lang w:val="en-US" w:eastAsia="zh-CN"/>
        </w:rPr>
        <w:drawing>
          <wp:inline distT="0" distB="0" distL="114300" distR="114300">
            <wp:extent cx="5616575" cy="7942580"/>
            <wp:effectExtent l="0" t="0" r="3175" b="1270"/>
            <wp:docPr id="14" name="图片 14" descr="SKM_3672510090346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KM_36725100903460_0003"/>
                    <pic:cNvPicPr>
                      <a:picLocks noChangeAspect="1"/>
                    </pic:cNvPicPr>
                  </pic:nvPicPr>
                  <pic:blipFill>
                    <a:blip r:embed="rId17"/>
                    <a:stretch>
                      <a:fillRect/>
                    </a:stretch>
                  </pic:blipFill>
                  <pic:spPr>
                    <a:xfrm>
                      <a:off x="0" y="0"/>
                      <a:ext cx="5616575" cy="7942580"/>
                    </a:xfrm>
                    <a:prstGeom prst="rect">
                      <a:avLst/>
                    </a:prstGeom>
                  </pic:spPr>
                </pic:pic>
              </a:graphicData>
            </a:graphic>
          </wp:inline>
        </w:drawing>
      </w:r>
      <w:r>
        <w:rPr>
          <w:rFonts w:hint="default"/>
          <w:lang w:val="en-US" w:eastAsia="zh-CN"/>
        </w:rPr>
        <w:drawing>
          <wp:inline distT="0" distB="0" distL="114300" distR="114300">
            <wp:extent cx="5616575" cy="7942580"/>
            <wp:effectExtent l="0" t="0" r="3175" b="1270"/>
            <wp:docPr id="13" name="图片 13" descr="SKM_3672510090346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KM_36725100903460_0004"/>
                    <pic:cNvPicPr>
                      <a:picLocks noChangeAspect="1"/>
                    </pic:cNvPicPr>
                  </pic:nvPicPr>
                  <pic:blipFill>
                    <a:blip r:embed="rId18"/>
                    <a:stretch>
                      <a:fillRect/>
                    </a:stretch>
                  </pic:blipFill>
                  <pic:spPr>
                    <a:xfrm>
                      <a:off x="0" y="0"/>
                      <a:ext cx="5616575" cy="7942580"/>
                    </a:xfrm>
                    <a:prstGeom prst="rect">
                      <a:avLst/>
                    </a:prstGeom>
                  </pic:spPr>
                </pic:pic>
              </a:graphicData>
            </a:graphic>
          </wp:inline>
        </w:drawing>
      </w:r>
      <w:r>
        <w:rPr>
          <w:rFonts w:hint="default"/>
          <w:lang w:val="en-US" w:eastAsia="zh-CN"/>
        </w:rPr>
        <w:drawing>
          <wp:inline distT="0" distB="0" distL="114300" distR="114300">
            <wp:extent cx="5616575" cy="7942580"/>
            <wp:effectExtent l="0" t="0" r="3175" b="1270"/>
            <wp:docPr id="4" name="图片 4" descr="SKM_3672510090346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KM_36725100903460_0005"/>
                    <pic:cNvPicPr>
                      <a:picLocks noChangeAspect="1"/>
                    </pic:cNvPicPr>
                  </pic:nvPicPr>
                  <pic:blipFill>
                    <a:blip r:embed="rId19"/>
                    <a:stretch>
                      <a:fillRect/>
                    </a:stretch>
                  </pic:blipFill>
                  <pic:spPr>
                    <a:xfrm>
                      <a:off x="0" y="0"/>
                      <a:ext cx="5616575" cy="7942580"/>
                    </a:xfrm>
                    <a:prstGeom prst="rect">
                      <a:avLst/>
                    </a:prstGeom>
                  </pic:spPr>
                </pic:pic>
              </a:graphicData>
            </a:graphic>
          </wp:inline>
        </w:drawing>
      </w:r>
      <w:r>
        <w:rPr>
          <w:rFonts w:hint="default"/>
          <w:lang w:val="en-US" w:eastAsia="zh-CN"/>
        </w:rPr>
        <w:drawing>
          <wp:inline distT="0" distB="0" distL="114300" distR="114300">
            <wp:extent cx="5616575" cy="7942580"/>
            <wp:effectExtent l="0" t="0" r="3175" b="1270"/>
            <wp:docPr id="1" name="图片 1" descr="SKM_36725100903460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KM_36725100903460_0006"/>
                    <pic:cNvPicPr>
                      <a:picLocks noChangeAspect="1"/>
                    </pic:cNvPicPr>
                  </pic:nvPicPr>
                  <pic:blipFill>
                    <a:blip r:embed="rId20"/>
                    <a:stretch>
                      <a:fillRect/>
                    </a:stretch>
                  </pic:blipFill>
                  <pic:spPr>
                    <a:xfrm>
                      <a:off x="0" y="0"/>
                      <a:ext cx="5616575" cy="7942580"/>
                    </a:xfrm>
                    <a:prstGeom prst="rect">
                      <a:avLst/>
                    </a:prstGeom>
                  </pic:spPr>
                </pic:pic>
              </a:graphicData>
            </a:graphic>
          </wp:inline>
        </w:drawing>
      </w:r>
    </w:p>
    <w:p>
      <w:pPr>
        <w:rPr>
          <w:rFonts w:ascii="仿宋_GB2312" w:hAnsi="仿宋_GB2312" w:cs="仿宋_GB2312"/>
          <w:szCs w:val="32"/>
        </w:rPr>
      </w:pPr>
    </w:p>
    <w:p>
      <w:pPr>
        <w:pStyle w:val="2"/>
        <w:rPr>
          <w:rFonts w:ascii="仿宋_GB2312" w:hAnsi="仿宋_GB2312" w:cs="仿宋_GB2312"/>
          <w:szCs w:val="32"/>
        </w:rPr>
      </w:pPr>
    </w:p>
    <w:p/>
    <w:p>
      <w:pPr>
        <w:pStyle w:val="2"/>
        <w:rPr>
          <w:rFonts w:ascii="仿宋_GB2312" w:hAnsi="仿宋_GB2312" w:cs="仿宋_GB2312"/>
          <w:szCs w:val="32"/>
        </w:rPr>
      </w:pPr>
    </w:p>
    <w:p>
      <w:pPr>
        <w:rPr>
          <w:rFonts w:ascii="仿宋_GB2312" w:hAnsi="仿宋_GB2312" w:cs="仿宋_GB2312"/>
          <w:szCs w:val="32"/>
        </w:rPr>
      </w:pPr>
    </w:p>
    <w:p>
      <w:pPr>
        <w:pStyle w:val="2"/>
        <w:rPr>
          <w:rFonts w:ascii="仿宋_GB2312" w:hAnsi="仿宋_GB2312" w:cs="仿宋_GB2312"/>
          <w:szCs w:val="32"/>
        </w:rPr>
      </w:pPr>
    </w:p>
    <w:p>
      <w:pPr>
        <w:pStyle w:val="2"/>
      </w:pPr>
    </w:p>
    <w:p>
      <w:pPr>
        <w:pStyle w:val="2"/>
      </w:pPr>
    </w:p>
    <w:p/>
    <w:p>
      <w:pPr>
        <w:pStyle w:val="2"/>
      </w:pPr>
    </w:p>
    <w:p>
      <w:pPr>
        <w:pStyle w:val="10"/>
        <w:widowControl/>
        <w:pBdr>
          <w:top w:val="single" w:color="auto" w:sz="8" w:space="1"/>
          <w:left w:val="none" w:color="auto" w:sz="0" w:space="4"/>
          <w:bottom w:val="single" w:color="auto" w:sz="8" w:space="1"/>
          <w:right w:val="none" w:color="auto" w:sz="0" w:space="4"/>
        </w:pBdr>
        <w:spacing w:line="560" w:lineRule="exact"/>
        <w:ind w:left="0" w:leftChars="0" w:firstLine="280" w:firstLineChars="100"/>
        <w:jc w:val="both"/>
        <w:outlineLvl w:val="9"/>
        <w:rPr>
          <w:rFonts w:hint="default"/>
          <w:lang w:val="en-US" w:eastAsia="zh-CN"/>
        </w:rPr>
      </w:pPr>
      <w:r>
        <w:rPr>
          <w:rFonts w:hint="eastAsia" w:ascii="仿宋_GB2312" w:hAnsi="宋体"/>
          <w:color w:val="000000" w:themeColor="text1"/>
          <w:position w:val="5"/>
          <w:sz w:val="28"/>
          <w:szCs w:val="28"/>
          <w14:textFill>
            <w14:solidFill>
              <w14:schemeClr w14:val="tx1"/>
            </w14:solidFill>
          </w14:textFill>
        </w:rPr>
        <w:t>泉州市泉港区</w:t>
      </w:r>
      <w:r>
        <w:rPr>
          <w:rFonts w:hint="eastAsia" w:ascii="仿宋_GB2312" w:hAnsi="宋体"/>
          <w:color w:val="000000" w:themeColor="text1"/>
          <w:position w:val="5"/>
          <w:sz w:val="28"/>
          <w:szCs w:val="28"/>
          <w:lang w:val="en-US" w:eastAsia="zh-CN"/>
          <w14:textFill>
            <w14:solidFill>
              <w14:schemeClr w14:val="tx1"/>
            </w14:solidFill>
          </w14:textFill>
        </w:rPr>
        <w:t xml:space="preserve">人民政府办公室   </w:t>
      </w:r>
      <w:r>
        <w:rPr>
          <w:rFonts w:hint="eastAsia" w:ascii="仿宋_GB2312" w:hAnsi="宋体"/>
          <w:spacing w:val="5"/>
          <w:position w:val="5"/>
          <w:sz w:val="28"/>
          <w:szCs w:val="28"/>
        </w:rPr>
        <w:t xml:space="preserve">         </w:t>
      </w:r>
      <w:r>
        <w:rPr>
          <w:rFonts w:hint="eastAsia" w:ascii="仿宋_GB2312" w:hAnsi="宋体"/>
          <w:spacing w:val="5"/>
          <w:position w:val="5"/>
          <w:sz w:val="28"/>
          <w:szCs w:val="28"/>
          <w:lang w:val="en-US" w:eastAsia="zh-CN"/>
        </w:rPr>
        <w:t xml:space="preserve"> </w:t>
      </w:r>
      <w:r>
        <w:rPr>
          <w:rFonts w:hint="eastAsia" w:ascii="仿宋_GB2312" w:hAnsi="宋体"/>
          <w:spacing w:val="5"/>
          <w:position w:val="5"/>
          <w:sz w:val="28"/>
          <w:szCs w:val="28"/>
        </w:rPr>
        <w:t xml:space="preserve">  </w:t>
      </w:r>
      <w:r>
        <w:rPr>
          <w:rFonts w:hint="eastAsia" w:ascii="仿宋_GB2312" w:hAnsi="宋体"/>
          <w:position w:val="5"/>
          <w:sz w:val="28"/>
          <w:szCs w:val="28"/>
        </w:rPr>
        <w:t>2025年</w:t>
      </w:r>
      <w:r>
        <w:rPr>
          <w:rFonts w:hint="eastAsia" w:ascii="仿宋_GB2312" w:hAnsi="宋体"/>
          <w:position w:val="5"/>
          <w:sz w:val="28"/>
          <w:szCs w:val="28"/>
          <w:lang w:val="en-US" w:eastAsia="zh-CN"/>
        </w:rPr>
        <w:t>9</w:t>
      </w:r>
      <w:r>
        <w:rPr>
          <w:rFonts w:hint="eastAsia" w:ascii="仿宋_GB2312" w:hAnsi="宋体"/>
          <w:position w:val="5"/>
          <w:sz w:val="28"/>
          <w:szCs w:val="28"/>
        </w:rPr>
        <w:t>月</w:t>
      </w:r>
      <w:r>
        <w:rPr>
          <w:rFonts w:hint="eastAsia" w:ascii="仿宋_GB2312" w:hAnsi="宋体"/>
          <w:position w:val="5"/>
          <w:sz w:val="28"/>
          <w:szCs w:val="28"/>
          <w:lang w:val="en-US" w:eastAsia="zh-CN"/>
        </w:rPr>
        <w:t>25</w:t>
      </w:r>
      <w:r>
        <w:rPr>
          <w:rFonts w:hint="eastAsia" w:ascii="仿宋_GB2312" w:hAnsi="宋体"/>
          <w:position w:val="5"/>
          <w:sz w:val="28"/>
          <w:szCs w:val="28"/>
        </w:rPr>
        <w:t>日印发</w:t>
      </w:r>
    </w:p>
    <w:sectPr>
      <w:footerReference r:id="rId7" w:type="default"/>
      <w:pgSz w:w="11906" w:h="16838"/>
      <w:pgMar w:top="2098" w:right="1531" w:bottom="1871" w:left="153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B0500000000000000"/>
    <w:charset w:val="86"/>
    <w:family w:val="auto"/>
    <w:pitch w:val="default"/>
    <w:sig w:usb0="30000003" w:usb1="2BDF3C10" w:usb2="00000016" w:usb3="00000000" w:csb0="602E0107" w:csb1="00000000"/>
  </w:font>
  <w:font w:name="宋体">
    <w:panose1 w:val="020B0606030804020204"/>
    <w:charset w:val="50"/>
    <w:family w:val="auto"/>
    <w:pitch w:val="default"/>
    <w:sig w:usb0="E10002EF" w:usb1="6BDFFCFB" w:usb2="00800036" w:usb3="00000000" w:csb0="603E019F" w:csb1="DFD70000"/>
  </w:font>
  <w:font w:name="Wingdings">
    <w:panose1 w:val="020B0500000000000000"/>
    <w:charset w:val="02"/>
    <w:family w:val="auto"/>
    <w:pitch w:val="default"/>
    <w:sig w:usb0="30000003" w:usb1="2BDF3C10" w:usb2="00000016" w:usb3="00000000" w:csb0="602E0107" w:csb1="00000000"/>
  </w:font>
  <w:font w:name="Arial">
    <w:panose1 w:val="020B0500000000000000"/>
    <w:charset w:val="86"/>
    <w:family w:val="swiss"/>
    <w:pitch w:val="default"/>
    <w:sig w:usb0="30000003" w:usb1="2BDF3C10" w:usb2="00000016" w:usb3="00000000" w:csb0="602E0107" w:csb1="00000000"/>
  </w:font>
  <w:font w:name="黑体">
    <w:panose1 w:val="020B0500000000000000"/>
    <w:charset w:val="86"/>
    <w:family w:val="auto"/>
    <w:pitch w:val="default"/>
    <w:sig w:usb0="30000003" w:usb1="2BDF3C10" w:usb2="00000016" w:usb3="00000000" w:csb0="602E0107" w:csb1="00000000"/>
  </w:font>
  <w:font w:name="Courier New">
    <w:panose1 w:val="02070409020205020404"/>
    <w:charset w:val="01"/>
    <w:family w:val="modern"/>
    <w:pitch w:val="default"/>
    <w:sig w:usb0="E0000AFF" w:usb1="400078FF" w:usb2="00000001" w:usb3="00000000" w:csb0="600001BF" w:csb1="DFF70000"/>
  </w:font>
  <w:font w:name="Symbol">
    <w:panose1 w:val="05010000000000000000"/>
    <w:charset w:val="02"/>
    <w:family w:val="roman"/>
    <w:pitch w:val="default"/>
    <w:sig w:usb0="800000AF" w:usb1="1001ECEA" w:usb2="00000000" w:usb3="00000000" w:csb0="00000001" w:csb1="00000000"/>
  </w:font>
  <w:font w:name="Calibri">
    <w:panose1 w:val="020B0500000000000000"/>
    <w:charset w:val="86"/>
    <w:family w:val="swiss"/>
    <w:pitch w:val="default"/>
    <w:sig w:usb0="30000003" w:usb1="2BDF3C10" w:usb2="00000016" w:usb3="00000000" w:csb0="602E0107" w:csb1="00000000"/>
  </w:font>
  <w:font w:name="仿宋_GB2312">
    <w:panose1 w:val="020B0500000000000000"/>
    <w:charset w:val="86"/>
    <w:family w:val="modern"/>
    <w:pitch w:val="default"/>
    <w:sig w:usb0="30000003" w:usb1="2BDF3C10" w:usb2="00000016" w:usb3="00000000" w:csb0="602E0107" w:csb1="00000000"/>
  </w:font>
  <w:font w:name="楷体">
    <w:panose1 w:val="020B0500000000000000"/>
    <w:charset w:val="86"/>
    <w:family w:val="auto"/>
    <w:pitch w:val="default"/>
    <w:sig w:usb0="30000003" w:usb1="2BDF3C10" w:usb2="00000016" w:usb3="00000000" w:csb0="602E0107" w:csb1="00000000"/>
  </w:font>
  <w:font w:name="楷体_GB2312">
    <w:panose1 w:val="020B0500000000000000"/>
    <w:charset w:val="86"/>
    <w:family w:val="modern"/>
    <w:pitch w:val="default"/>
    <w:sig w:usb0="30000003" w:usb1="2BDF3C10" w:usb2="00000016" w:usb3="00000000" w:csb0="602E0107" w:csb1="00000000"/>
  </w:font>
  <w:font w:name="方正大标宋简体">
    <w:altName w:val="微软雅黑"/>
    <w:panose1 w:val="03000509000000000000"/>
    <w:charset w:val="86"/>
    <w:family w:val="script"/>
    <w:pitch w:val="default"/>
    <w:sig w:usb0="00000000" w:usb1="00000000" w:usb2="00000010" w:usb3="00000000" w:csb0="00040000" w:csb1="00000000"/>
  </w:font>
  <w:font w:name="微软雅黑">
    <w:panose1 w:val="02000000000000000000"/>
    <w:charset w:val="86"/>
    <w:family w:val="auto"/>
    <w:pitch w:val="default"/>
    <w:sig w:usb0="00000001" w:usb1="08000000" w:usb2="00000000" w:usb3="00000000" w:csb0="00040000" w:csb1="00000000"/>
  </w:font>
  <w:font w:name="Verdana">
    <w:panose1 w:val="020B0500000000000000"/>
    <w:charset w:val="86"/>
    <w:family w:val="swiss"/>
    <w:pitch w:val="default"/>
    <w:sig w:usb0="30000003" w:usb1="2BDF3C10" w:usb2="00000016" w:usb3="00000000" w:csb0="602E0107" w:csb1="00000000"/>
  </w:font>
  <w:font w:name="方正小标宋简体">
    <w:panose1 w:val="020B0500000000000000"/>
    <w:charset w:val="86"/>
    <w:family w:val="script"/>
    <w:pitch w:val="default"/>
    <w:sig w:usb0="30000003" w:usb1="2BDF3C10" w:usb2="00000016" w:usb3="00000000" w:csb0="602E0107" w:csb1="00000000"/>
  </w:font>
  <w:font w:name="仿宋">
    <w:panose1 w:val="020B05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l7XO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">
              <v:fill on="f" focussize="0,0"/>
              <v:stroke on="f" weight="0.5pt"/>
              <v:imagedata o:title=""/>
              <o:lock v:ext="edit" aspectratio="f"/>
              <v:textbox inset="0mm,0mm,0mm,0mm" style="mso-fit-shape-to-text:t;">
                <w:txbxContent>
                  <w:p>
                    <w:pPr>
                      <w:pStyle w:val="1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&#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">
              <v:fill on="f" focussize="0,0"/>
              <v:stroke on="f" weight="0.5pt"/>
              <v:imagedata o:title=""/>
              <o:lock v:ext="edit" aspectratio="f"/>
              <v:textbox inset="0mm,0mm,0mm,0mm" style="mso-fit-shape-to-text:t;">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">
              <v:fill on="f" focussize="0,0"/>
              <v:stroke on="f" weight="0.5pt"/>
              <v:imagedata o:title=""/>
              <o:lock v:ext="edit" aspectratio="f"/>
              <v:textbox inset="0mm,0mm,0mm,0mm" style="mso-fit-shape-to-text:t;">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Ud5jmMgIAAGM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&#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">
              <v:fill on="f" focussize="0,0"/>
              <v:stroke on="f" weight="0.5pt"/>
              <v:imagedata o:title=""/>
              <o:lock v:ext="edit" aspectratio="f"/>
              <v:textbox inset="0mm,0mm,0mm,0mm" style="mso-fit-shape-to-text:t;">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CEE3E9"/>
    <w:multiLevelType w:val="singleLevel"/>
    <w:tmpl w:val="D4CEE3E9"/>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BjYWZmZTBlOThjODZlNGRkMWNlNDVkYTE4NWI0YzUifQ=="/>
    <w:docVar w:name="KSO_WPS_MARK_KEY" w:val="6b4ed062-e969-4cb6-96ac-74c197f5bc77"/>
  </w:docVars>
  <w:rsids>
    <w:rsidRoot w:val="00172A27"/>
    <w:rsid w:val="001D245D"/>
    <w:rsid w:val="006D17FB"/>
    <w:rsid w:val="00854883"/>
    <w:rsid w:val="00DD5C5B"/>
    <w:rsid w:val="01B05064"/>
    <w:rsid w:val="031529C6"/>
    <w:rsid w:val="03546191"/>
    <w:rsid w:val="05760F72"/>
    <w:rsid w:val="05825FBA"/>
    <w:rsid w:val="08346D0E"/>
    <w:rsid w:val="088D275D"/>
    <w:rsid w:val="08E36F1B"/>
    <w:rsid w:val="0A944819"/>
    <w:rsid w:val="0B3E09CD"/>
    <w:rsid w:val="0C2A1F61"/>
    <w:rsid w:val="0C5309D1"/>
    <w:rsid w:val="0FB84046"/>
    <w:rsid w:val="103F4B88"/>
    <w:rsid w:val="10771710"/>
    <w:rsid w:val="107E0DE8"/>
    <w:rsid w:val="12705F50"/>
    <w:rsid w:val="14B839A4"/>
    <w:rsid w:val="15E521E3"/>
    <w:rsid w:val="172D0D7B"/>
    <w:rsid w:val="18252867"/>
    <w:rsid w:val="18A409E4"/>
    <w:rsid w:val="1BC27DD5"/>
    <w:rsid w:val="1D672657"/>
    <w:rsid w:val="1E8756CC"/>
    <w:rsid w:val="1F6B0B62"/>
    <w:rsid w:val="1F905EB2"/>
    <w:rsid w:val="20D9663B"/>
    <w:rsid w:val="20F12AC3"/>
    <w:rsid w:val="21A87253"/>
    <w:rsid w:val="21CB048B"/>
    <w:rsid w:val="21DA6637"/>
    <w:rsid w:val="21E91C8A"/>
    <w:rsid w:val="21FA58B0"/>
    <w:rsid w:val="221B1CEF"/>
    <w:rsid w:val="24E41606"/>
    <w:rsid w:val="25396B3D"/>
    <w:rsid w:val="2583745E"/>
    <w:rsid w:val="25BF2BD8"/>
    <w:rsid w:val="270348F5"/>
    <w:rsid w:val="274D252F"/>
    <w:rsid w:val="29FE3986"/>
    <w:rsid w:val="2A443EDF"/>
    <w:rsid w:val="2A776C57"/>
    <w:rsid w:val="2B765290"/>
    <w:rsid w:val="2BB54448"/>
    <w:rsid w:val="2C5B2635"/>
    <w:rsid w:val="2C931228"/>
    <w:rsid w:val="2D5166A5"/>
    <w:rsid w:val="33F95E15"/>
    <w:rsid w:val="343C18CE"/>
    <w:rsid w:val="35D308DD"/>
    <w:rsid w:val="36AD16E8"/>
    <w:rsid w:val="3A9C3042"/>
    <w:rsid w:val="3BD62655"/>
    <w:rsid w:val="3C0E030A"/>
    <w:rsid w:val="3CB94393"/>
    <w:rsid w:val="3CF1345D"/>
    <w:rsid w:val="3D5440BC"/>
    <w:rsid w:val="3D766728"/>
    <w:rsid w:val="3EEF0C1F"/>
    <w:rsid w:val="3F5D7BA0"/>
    <w:rsid w:val="3FF658FE"/>
    <w:rsid w:val="402507DC"/>
    <w:rsid w:val="402D28F5"/>
    <w:rsid w:val="40493C80"/>
    <w:rsid w:val="41362456"/>
    <w:rsid w:val="41DD0B24"/>
    <w:rsid w:val="425044CC"/>
    <w:rsid w:val="427000B1"/>
    <w:rsid w:val="43036DCC"/>
    <w:rsid w:val="43D57248"/>
    <w:rsid w:val="45707558"/>
    <w:rsid w:val="48556905"/>
    <w:rsid w:val="48D77FF8"/>
    <w:rsid w:val="49624444"/>
    <w:rsid w:val="4A1A489B"/>
    <w:rsid w:val="4BBC17AA"/>
    <w:rsid w:val="4BD010BB"/>
    <w:rsid w:val="4E7C151E"/>
    <w:rsid w:val="4EA8209A"/>
    <w:rsid w:val="4EE03C90"/>
    <w:rsid w:val="4F732F5C"/>
    <w:rsid w:val="51BA6BEE"/>
    <w:rsid w:val="52485C36"/>
    <w:rsid w:val="529A275A"/>
    <w:rsid w:val="533B35BA"/>
    <w:rsid w:val="53F6458A"/>
    <w:rsid w:val="54536573"/>
    <w:rsid w:val="546E60D6"/>
    <w:rsid w:val="54A469C3"/>
    <w:rsid w:val="55B14031"/>
    <w:rsid w:val="56A02CA6"/>
    <w:rsid w:val="59A600D2"/>
    <w:rsid w:val="5A056A12"/>
    <w:rsid w:val="5A6C48BE"/>
    <w:rsid w:val="5AFD28B0"/>
    <w:rsid w:val="5B1C04B7"/>
    <w:rsid w:val="5C3F0432"/>
    <w:rsid w:val="5C4826EA"/>
    <w:rsid w:val="5E294DBD"/>
    <w:rsid w:val="5E4562C8"/>
    <w:rsid w:val="5F5E7D90"/>
    <w:rsid w:val="5FC723B6"/>
    <w:rsid w:val="5FEE737B"/>
    <w:rsid w:val="62515B87"/>
    <w:rsid w:val="65085608"/>
    <w:rsid w:val="66890C6F"/>
    <w:rsid w:val="671873FA"/>
    <w:rsid w:val="67B374C6"/>
    <w:rsid w:val="688C016B"/>
    <w:rsid w:val="68E97028"/>
    <w:rsid w:val="69270160"/>
    <w:rsid w:val="6AD104CF"/>
    <w:rsid w:val="6AE862FB"/>
    <w:rsid w:val="6B225676"/>
    <w:rsid w:val="6BE52167"/>
    <w:rsid w:val="6C366ABA"/>
    <w:rsid w:val="6ED7596F"/>
    <w:rsid w:val="6F336836"/>
    <w:rsid w:val="6FF91017"/>
    <w:rsid w:val="709D1CA5"/>
    <w:rsid w:val="710F044A"/>
    <w:rsid w:val="735364FA"/>
    <w:rsid w:val="73555EBD"/>
    <w:rsid w:val="73CD5E16"/>
    <w:rsid w:val="78943926"/>
    <w:rsid w:val="79F21DA2"/>
    <w:rsid w:val="7A876D7C"/>
    <w:rsid w:val="7AC747B9"/>
    <w:rsid w:val="7AD763E9"/>
    <w:rsid w:val="7B136DDB"/>
    <w:rsid w:val="7FE100C4"/>
    <w:rsid w:val="AFFE4F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仿宋_GB2312" w:cs="Times New Roman"/>
      <w:kern w:val="2"/>
      <w:sz w:val="32"/>
      <w:szCs w:val="22"/>
      <w:lang w:val="en-US" w:eastAsia="zh-CN" w:bidi="ar-SA"/>
    </w:rPr>
  </w:style>
  <w:style w:type="paragraph" w:styleId="3">
    <w:name w:val="heading 1"/>
    <w:basedOn w:val="1"/>
    <w:next w:val="1"/>
    <w:link w:val="23"/>
    <w:qFormat/>
    <w:uiPriority w:val="9"/>
    <w:pPr>
      <w:keepNext/>
      <w:keepLines/>
      <w:spacing w:before="0" w:beforeLines="0" w:beforeAutospacing="0" w:after="0" w:afterLines="0" w:afterAutospacing="0" w:line="580" w:lineRule="exact"/>
      <w:ind w:firstLine="640" w:firstLineChars="200"/>
      <w:jc w:val="left"/>
      <w:outlineLvl w:val="0"/>
    </w:pPr>
    <w:rPr>
      <w:rFonts w:eastAsia="黑体"/>
      <w:kern w:val="44"/>
    </w:rPr>
  </w:style>
  <w:style w:type="paragraph" w:styleId="4">
    <w:name w:val="heading 2"/>
    <w:basedOn w:val="1"/>
    <w:next w:val="1"/>
    <w:unhideWhenUsed/>
    <w:qFormat/>
    <w:uiPriority w:val="9"/>
    <w:pPr>
      <w:keepNext/>
      <w:keepLines/>
      <w:spacing w:before="0" w:beforeLines="0" w:beforeAutospacing="0" w:after="0" w:afterLines="0" w:afterAutospacing="0" w:line="580" w:lineRule="exact"/>
      <w:ind w:firstLine="880" w:firstLineChars="200"/>
      <w:outlineLvl w:val="1"/>
    </w:pPr>
    <w:rPr>
      <w:rFonts w:ascii="Arial" w:hAnsi="Arial" w:eastAsia="楷体"/>
      <w:b/>
    </w:rPr>
  </w:style>
  <w:style w:type="paragraph" w:styleId="5">
    <w:name w:val="heading 3"/>
    <w:basedOn w:val="1"/>
    <w:next w:val="1"/>
    <w:unhideWhenUsed/>
    <w:qFormat/>
    <w:uiPriority w:val="9"/>
    <w:pPr>
      <w:keepNext/>
      <w:keepLines/>
      <w:adjustRightInd w:val="0"/>
      <w:spacing w:before="0" w:beforeLines="0" w:beforeAutospacing="0" w:after="0" w:afterLines="0" w:afterAutospacing="0" w:line="580" w:lineRule="exact"/>
      <w:ind w:firstLine="880" w:firstLineChars="200"/>
      <w:outlineLvl w:val="2"/>
    </w:pPr>
    <w:rPr>
      <w:rFonts w:eastAsia="楷体_GB2312"/>
      <w:b/>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autoSpaceDE w:val="0"/>
      <w:autoSpaceDN w:val="0"/>
      <w:ind w:firstLine="0" w:firstLineChars="0"/>
      <w:jc w:val="left"/>
    </w:pPr>
    <w:rPr>
      <w:rFonts w:ascii="方正大标宋简体" w:hAnsi="方正大标宋简体" w:eastAsia="方正大标宋简体" w:cs="方正大标宋简体"/>
      <w:kern w:val="0"/>
      <w:sz w:val="100"/>
      <w:szCs w:val="100"/>
      <w:lang w:val="zh-CN"/>
    </w:rPr>
  </w:style>
  <w:style w:type="paragraph" w:styleId="6">
    <w:name w:val="Normal Indent"/>
    <w:basedOn w:val="1"/>
    <w:next w:val="1"/>
    <w:qFormat/>
    <w:uiPriority w:val="99"/>
    <w:pPr>
      <w:ind w:firstLine="420"/>
    </w:pPr>
    <w:rPr>
      <w:rFonts w:ascii="Verdana" w:hAnsi="Verdana"/>
      <w:szCs w:val="20"/>
    </w:rPr>
  </w:style>
  <w:style w:type="paragraph" w:styleId="7">
    <w:name w:val="annotation text"/>
    <w:basedOn w:val="1"/>
    <w:unhideWhenUsed/>
    <w:qFormat/>
    <w:uiPriority w:val="99"/>
    <w:pPr>
      <w:jc w:val="left"/>
    </w:pPr>
  </w:style>
  <w:style w:type="paragraph" w:styleId="8">
    <w:name w:val="Body Text Indent"/>
    <w:basedOn w:val="1"/>
    <w:next w:val="6"/>
    <w:unhideWhenUsed/>
    <w:qFormat/>
    <w:uiPriority w:val="99"/>
    <w:pPr>
      <w:shd w:val="clear" w:color="auto" w:fill="FFFFFF"/>
      <w:adjustRightInd w:val="0"/>
      <w:snapToGrid w:val="0"/>
      <w:spacing w:line="540" w:lineRule="exact"/>
      <w:ind w:firstLine="640" w:firstLineChars="200"/>
      <w:jc w:val="left"/>
    </w:pPr>
    <w:rPr>
      <w:rFonts w:eastAsia="仿宋_GB2312"/>
      <w:color w:val="000000"/>
      <w:kern w:val="0"/>
      <w:sz w:val="32"/>
      <w:szCs w:val="32"/>
    </w:rPr>
  </w:style>
  <w:style w:type="paragraph" w:styleId="9">
    <w:name w:val="toc 3"/>
    <w:basedOn w:val="1"/>
    <w:next w:val="1"/>
    <w:qFormat/>
    <w:uiPriority w:val="0"/>
    <w:pPr>
      <w:ind w:left="840" w:leftChars="400"/>
    </w:pPr>
  </w:style>
  <w:style w:type="paragraph" w:styleId="10">
    <w:name w:val="Balloon Text"/>
    <w:basedOn w:val="1"/>
    <w:next w:val="1"/>
    <w:semiHidden/>
    <w:qFormat/>
    <w:uiPriority w:val="0"/>
    <w:rPr>
      <w:sz w:val="18"/>
      <w:szCs w:val="18"/>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6">
    <w:name w:val="Body Text First Indent 2"/>
    <w:basedOn w:val="8"/>
    <w:next w:val="11"/>
    <w:unhideWhenUsed/>
    <w:qFormat/>
    <w:uiPriority w:val="99"/>
    <w:pPr>
      <w:ind w:firstLine="420" w:firstLineChars="2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
    <w:name w:val="WPSOffice手动目录 1"/>
    <w:qFormat/>
    <w:uiPriority w:val="0"/>
    <w:pPr>
      <w:ind w:leftChars="0"/>
    </w:pPr>
    <w:rPr>
      <w:rFonts w:ascii="Times New Roman" w:hAnsi="Times New Roman" w:eastAsia="宋体" w:cs="Times New Roman"/>
      <w:sz w:val="20"/>
      <w:szCs w:val="20"/>
    </w:rPr>
  </w:style>
  <w:style w:type="paragraph" w:customStyle="1" w:styleId="21">
    <w:name w:val="WPSOffice手动目录 2"/>
    <w:qFormat/>
    <w:uiPriority w:val="0"/>
    <w:pPr>
      <w:ind w:leftChars="200"/>
    </w:pPr>
    <w:rPr>
      <w:rFonts w:ascii="Times New Roman" w:hAnsi="Times New Roman" w:eastAsia="宋体" w:cs="Times New Roman"/>
      <w:sz w:val="20"/>
      <w:szCs w:val="20"/>
    </w:rPr>
  </w:style>
  <w:style w:type="paragraph" w:customStyle="1" w:styleId="22">
    <w:name w:val="WPSOffice手动目录 3"/>
    <w:qFormat/>
    <w:uiPriority w:val="0"/>
    <w:pPr>
      <w:ind w:leftChars="400"/>
    </w:pPr>
    <w:rPr>
      <w:rFonts w:ascii="Times New Roman" w:hAnsi="Times New Roman" w:eastAsia="宋体" w:cs="Times New Roman"/>
      <w:sz w:val="20"/>
      <w:szCs w:val="20"/>
    </w:rPr>
  </w:style>
  <w:style w:type="character" w:customStyle="1" w:styleId="23">
    <w:name w:val="标题 1 Char"/>
    <w:link w:val="3"/>
    <w:qFormat/>
    <w:uiPriority w:val="9"/>
    <w:rPr>
      <w:rFonts w:eastAsia="黑体"/>
      <w:kern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7797</Words>
  <Characters>8227</Characters>
  <Lines>0</Lines>
  <Paragraphs>0</Paragraphs>
  <TotalTime>92</TotalTime>
  <ScaleCrop>false</ScaleCrop>
  <LinksUpToDate>false</LinksUpToDate>
  <CharactersWithSpaces>8313</CharactersWithSpaces>
  <Application>WPS Office_11.8.2.1120_F1E327BC-269C-435d-A152-05C5408002CA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2024-06-12T11:47:00Z</dcterms:created>
  <dc:creator>Administrator</dc:creator>
  <cp:lastModifiedBy>ht706</cp:lastModifiedBy>
  <cp:lastPrinted>2025-10-14T15:40:00Z</cp:lastPrinted>
  <dcterms:modified xsi:type="dcterms:W3CDTF">2025-10-14T14:48:45Z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2052-11.8.2.1120</vt:lpwstr>
  </property>
  <property fmtid="{D5CDD505-2E9C-101B-9397-08002B2CF9AE}" pid="3" name="ICV">
    <vt:lpwstr>1412C5340D8D0E7D4DF2ED68FF04274C</vt:lpwstr>
  </property>
  <property fmtid="{D5CDD505-2E9C-101B-9397-08002B2CF9AE}" pid="4" name="KSOTemplateDocerSaveRecord">
    <vt:lpwstr>eyJoZGlkIjoiZmM0YTExNTdiNzE3MDJjNzBmZDZlYzVlNWYwZWUwNjAifQ==</vt:lpwstr>
  </property>
</Properties>
</file>